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7C35" w14:textId="77777777" w:rsidR="004D1495" w:rsidRPr="005F069C" w:rsidRDefault="004D1495" w:rsidP="004D1495">
      <w:pPr>
        <w:pStyle w:val="NoSpacing"/>
        <w:jc w:val="both"/>
        <w:rPr>
          <w:rFonts w:ascii="Calibri Light" w:eastAsia="Calibri Light" w:hAnsi="Calibri Light" w:cs="Calibri Light"/>
          <w:sz w:val="20"/>
          <w:szCs w:val="20"/>
          <w:shd w:val="clear" w:color="auto" w:fill="FFFFFF"/>
        </w:rPr>
      </w:pPr>
    </w:p>
    <w:p w14:paraId="42F21F4D" w14:textId="5D35EF27" w:rsidR="004C31B6" w:rsidRPr="004C31B6" w:rsidRDefault="004C31B6" w:rsidP="004C31B6">
      <w:pPr>
        <w:pStyle w:val="Heading1"/>
        <w:spacing w:before="120" w:after="120"/>
        <w:rPr>
          <w:rFonts w:ascii="Times New Roman" w:hAnsi="Times New Roman" w:cs="Times New Roman"/>
          <w:sz w:val="32"/>
          <w:szCs w:val="32"/>
        </w:rPr>
      </w:pPr>
      <w:r w:rsidRPr="004C31B6">
        <w:rPr>
          <w:rFonts w:ascii="Times New Roman" w:hAnsi="Times New Roman" w:cs="Times New Roman"/>
          <w:sz w:val="32"/>
          <w:szCs w:val="32"/>
        </w:rPr>
        <w:t>SMART Balkans</w:t>
      </w:r>
      <w:r>
        <w:rPr>
          <w:rFonts w:ascii="Times New Roman" w:hAnsi="Times New Roman" w:cs="Times New Roman"/>
          <w:sz w:val="32"/>
          <w:szCs w:val="32"/>
        </w:rPr>
        <w:t xml:space="preserve"> - </w:t>
      </w:r>
    </w:p>
    <w:p w14:paraId="5DA7A9F5" w14:textId="77777777" w:rsidR="004C31B6" w:rsidRPr="004C31B6" w:rsidRDefault="004C31B6" w:rsidP="004C31B6">
      <w:pPr>
        <w:pStyle w:val="Heading1"/>
        <w:spacing w:before="120" w:after="120"/>
        <w:rPr>
          <w:rFonts w:ascii="Times New Roman" w:hAnsi="Times New Roman" w:cs="Times New Roman"/>
          <w:sz w:val="32"/>
          <w:szCs w:val="32"/>
        </w:rPr>
      </w:pPr>
      <w:proofErr w:type="spellStart"/>
      <w:r w:rsidRPr="004C31B6">
        <w:rPr>
          <w:rFonts w:ascii="Times New Roman" w:hAnsi="Times New Roman" w:cs="Times New Roman"/>
          <w:sz w:val="32"/>
          <w:szCs w:val="32"/>
        </w:rPr>
        <w:t>Shoqëria</w:t>
      </w:r>
      <w:proofErr w:type="spellEnd"/>
      <w:r w:rsidRPr="004C31B6">
        <w:rPr>
          <w:rFonts w:ascii="Times New Roman" w:hAnsi="Times New Roman" w:cs="Times New Roman"/>
          <w:sz w:val="32"/>
          <w:szCs w:val="32"/>
        </w:rPr>
        <w:t xml:space="preserve"> Civile </w:t>
      </w:r>
      <w:proofErr w:type="spellStart"/>
      <w:r w:rsidRPr="004C31B6">
        <w:rPr>
          <w:rFonts w:ascii="Times New Roman" w:hAnsi="Times New Roman" w:cs="Times New Roman"/>
          <w:sz w:val="32"/>
          <w:szCs w:val="32"/>
        </w:rPr>
        <w:t>për</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Vlera</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të</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Përbashkëta</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në</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Ballkanin</w:t>
      </w:r>
      <w:proofErr w:type="spellEnd"/>
      <w:r w:rsidRPr="004C31B6">
        <w:rPr>
          <w:rFonts w:ascii="Times New Roman" w:hAnsi="Times New Roman" w:cs="Times New Roman"/>
          <w:sz w:val="32"/>
          <w:szCs w:val="32"/>
        </w:rPr>
        <w:t xml:space="preserve"> </w:t>
      </w:r>
      <w:proofErr w:type="spellStart"/>
      <w:r w:rsidRPr="004C31B6">
        <w:rPr>
          <w:rFonts w:ascii="Times New Roman" w:hAnsi="Times New Roman" w:cs="Times New Roman"/>
          <w:sz w:val="32"/>
          <w:szCs w:val="32"/>
        </w:rPr>
        <w:t>Perëndimor</w:t>
      </w:r>
      <w:proofErr w:type="spellEnd"/>
      <w:r w:rsidRPr="004C31B6">
        <w:rPr>
          <w:rFonts w:ascii="Times New Roman" w:hAnsi="Times New Roman" w:cs="Times New Roman"/>
          <w:sz w:val="32"/>
          <w:szCs w:val="32"/>
        </w:rPr>
        <w:t xml:space="preserve"> </w:t>
      </w:r>
    </w:p>
    <w:p w14:paraId="043005CE" w14:textId="77777777" w:rsidR="004C31B6" w:rsidRPr="004C31B6" w:rsidRDefault="004C31B6" w:rsidP="004C31B6">
      <w:pPr>
        <w:pStyle w:val="Heading1"/>
        <w:spacing w:before="120" w:after="120"/>
        <w:rPr>
          <w:rFonts w:ascii="Times New Roman" w:hAnsi="Times New Roman" w:cs="Times New Roman"/>
          <w:b/>
          <w:bCs/>
          <w:sz w:val="32"/>
          <w:szCs w:val="32"/>
        </w:rPr>
      </w:pPr>
    </w:p>
    <w:p w14:paraId="415B7598" w14:textId="77777777" w:rsidR="004C31B6" w:rsidRPr="004C31B6" w:rsidRDefault="004C31B6" w:rsidP="004C31B6">
      <w:pPr>
        <w:pStyle w:val="Heading1"/>
        <w:spacing w:before="120" w:after="120"/>
        <w:rPr>
          <w:rFonts w:ascii="Times New Roman" w:hAnsi="Times New Roman" w:cs="Times New Roman"/>
          <w:sz w:val="32"/>
          <w:szCs w:val="32"/>
        </w:rPr>
      </w:pPr>
      <w:proofErr w:type="spellStart"/>
      <w:r w:rsidRPr="004C31B6">
        <w:rPr>
          <w:rFonts w:ascii="Times New Roman" w:hAnsi="Times New Roman" w:cs="Times New Roman"/>
          <w:sz w:val="32"/>
          <w:szCs w:val="32"/>
        </w:rPr>
        <w:t>Numër</w:t>
      </w:r>
      <w:proofErr w:type="spellEnd"/>
      <w:r w:rsidRPr="004C31B6">
        <w:rPr>
          <w:rFonts w:ascii="Times New Roman" w:hAnsi="Times New Roman" w:cs="Times New Roman"/>
          <w:sz w:val="32"/>
          <w:szCs w:val="32"/>
        </w:rPr>
        <w:t xml:space="preserve"> Reference</w:t>
      </w:r>
      <w:r w:rsidRPr="004C31B6">
        <w:rPr>
          <w:rFonts w:ascii="Times New Roman" w:hAnsi="Times New Roman" w:cs="Times New Roman"/>
          <w:spacing w:val="-2"/>
          <w:sz w:val="32"/>
          <w:szCs w:val="32"/>
        </w:rPr>
        <w:t xml:space="preserve"> </w:t>
      </w:r>
      <w:r w:rsidRPr="004C31B6">
        <w:rPr>
          <w:rFonts w:ascii="Times New Roman" w:hAnsi="Times New Roman" w:cs="Times New Roman"/>
          <w:sz w:val="32"/>
          <w:szCs w:val="32"/>
        </w:rPr>
        <w:t>Nr</w:t>
      </w:r>
      <w:r w:rsidRPr="004C31B6">
        <w:rPr>
          <w:rFonts w:ascii="Times New Roman" w:hAnsi="Times New Roman" w:cs="Times New Roman"/>
          <w:spacing w:val="-15"/>
          <w:sz w:val="32"/>
          <w:szCs w:val="32"/>
        </w:rPr>
        <w:t xml:space="preserve"> </w:t>
      </w:r>
      <w:r w:rsidRPr="004C31B6">
        <w:rPr>
          <w:rFonts w:ascii="Times New Roman" w:hAnsi="Times New Roman" w:cs="Times New Roman"/>
          <w:sz w:val="32"/>
          <w:szCs w:val="32"/>
        </w:rPr>
        <w:t>001</w:t>
      </w:r>
      <w:r w:rsidRPr="004C31B6">
        <w:rPr>
          <w:rFonts w:ascii="Times New Roman" w:hAnsi="Times New Roman" w:cs="Times New Roman"/>
          <w:spacing w:val="-13"/>
          <w:sz w:val="32"/>
          <w:szCs w:val="32"/>
        </w:rPr>
        <w:t xml:space="preserve"> 01</w:t>
      </w:r>
      <w:r w:rsidRPr="004C31B6">
        <w:rPr>
          <w:rFonts w:ascii="Times New Roman" w:hAnsi="Times New Roman" w:cs="Times New Roman"/>
          <w:sz w:val="32"/>
          <w:szCs w:val="32"/>
        </w:rPr>
        <w:t>/2023</w:t>
      </w:r>
    </w:p>
    <w:p w14:paraId="6CBB262D" w14:textId="77777777" w:rsidR="004C31B6" w:rsidRPr="004C31B6" w:rsidRDefault="004C31B6" w:rsidP="004C31B6">
      <w:pPr>
        <w:pStyle w:val="Heading1"/>
        <w:spacing w:before="120" w:after="120"/>
        <w:rPr>
          <w:rFonts w:ascii="Times New Roman" w:hAnsi="Times New Roman" w:cs="Times New Roman"/>
        </w:rPr>
      </w:pPr>
    </w:p>
    <w:p w14:paraId="62B48402" w14:textId="77777777" w:rsidR="004C31B6" w:rsidRPr="004C31B6" w:rsidRDefault="004C31B6" w:rsidP="004C31B6">
      <w:pPr>
        <w:pStyle w:val="Heading1"/>
        <w:spacing w:before="120" w:after="120"/>
        <w:jc w:val="left"/>
        <w:rPr>
          <w:rFonts w:ascii="Times New Roman" w:hAnsi="Times New Roman" w:cs="Times New Roman"/>
        </w:rPr>
      </w:pPr>
    </w:p>
    <w:p w14:paraId="2435B8EB" w14:textId="77777777" w:rsidR="004C31B6" w:rsidRPr="004C31B6" w:rsidRDefault="004C31B6" w:rsidP="004C31B6">
      <w:pPr>
        <w:pStyle w:val="Heading1"/>
        <w:spacing w:before="120" w:after="120"/>
        <w:ind w:left="0"/>
        <w:jc w:val="left"/>
        <w:rPr>
          <w:rFonts w:ascii="Times New Roman" w:hAnsi="Times New Roman" w:cs="Times New Roman"/>
        </w:rPr>
      </w:pPr>
    </w:p>
    <w:p w14:paraId="647D56E9" w14:textId="77777777" w:rsidR="004C31B6" w:rsidRDefault="004C31B6" w:rsidP="004C31B6">
      <w:pPr>
        <w:pStyle w:val="Heading1"/>
        <w:spacing w:before="120" w:after="120"/>
        <w:rPr>
          <w:rFonts w:ascii="Times New Roman" w:hAnsi="Times New Roman" w:cs="Times New Roman"/>
        </w:rPr>
      </w:pPr>
      <w:r w:rsidRPr="004C31B6">
        <w:rPr>
          <w:rFonts w:ascii="Times New Roman" w:hAnsi="Times New Roman" w:cs="Times New Roman"/>
        </w:rPr>
        <w:t>TERMAT E REFERENCËS</w:t>
      </w:r>
      <w:r>
        <w:rPr>
          <w:rFonts w:ascii="Times New Roman" w:hAnsi="Times New Roman" w:cs="Times New Roman"/>
        </w:rPr>
        <w:t xml:space="preserve"> </w:t>
      </w:r>
    </w:p>
    <w:p w14:paraId="7A1430F2" w14:textId="352EEE6B" w:rsidR="004C31B6" w:rsidRPr="004C31B6" w:rsidRDefault="004C31B6" w:rsidP="004C31B6">
      <w:pPr>
        <w:pStyle w:val="Heading1"/>
        <w:spacing w:before="120" w:after="120"/>
        <w:rPr>
          <w:rFonts w:ascii="Times New Roman" w:hAnsi="Times New Roman" w:cs="Times New Roman"/>
        </w:rPr>
      </w:pPr>
      <w:r w:rsidRPr="004C31B6">
        <w:rPr>
          <w:rFonts w:ascii="Times New Roman" w:hAnsi="Times New Roman" w:cs="Times New Roman"/>
        </w:rPr>
        <w:t xml:space="preserve">PËR </w:t>
      </w:r>
    </w:p>
    <w:p w14:paraId="13BBD6D7" w14:textId="377C12E5" w:rsidR="004C31B6" w:rsidRPr="004C31B6" w:rsidRDefault="004C31B6" w:rsidP="004C31B6">
      <w:pPr>
        <w:pStyle w:val="Heading1"/>
        <w:spacing w:before="120" w:after="120"/>
        <w:rPr>
          <w:rFonts w:ascii="Times New Roman" w:hAnsi="Times New Roman" w:cs="Times New Roman"/>
        </w:rPr>
        <w:sectPr w:rsidR="004C31B6" w:rsidRPr="004C31B6" w:rsidSect="007C791E">
          <w:headerReference w:type="default" r:id="rId11"/>
          <w:footerReference w:type="default" r:id="rId12"/>
          <w:pgSz w:w="11900" w:h="16840"/>
          <w:pgMar w:top="3118" w:right="1440" w:bottom="1984" w:left="1440" w:header="2448" w:footer="708" w:gutter="0"/>
          <w:cols w:space="720"/>
          <w:docGrid w:linePitch="326"/>
        </w:sectPr>
      </w:pPr>
      <w:r w:rsidRPr="004C31B6">
        <w:rPr>
          <w:rFonts w:ascii="Times New Roman" w:hAnsi="Times New Roman" w:cs="Times New Roman"/>
        </w:rPr>
        <w:t>MENTORË</w:t>
      </w:r>
      <w:r>
        <w:rPr>
          <w:rFonts w:ascii="Times New Roman" w:hAnsi="Times New Roman" w:cs="Times New Roman"/>
        </w:rPr>
        <w:t xml:space="preserve"> T</w:t>
      </w:r>
      <w:r w:rsidRPr="004C31B6">
        <w:rPr>
          <w:rFonts w:ascii="Times New Roman" w:hAnsi="Times New Roman" w:cs="Times New Roman"/>
        </w:rPr>
        <w:t>Ë ORGANIZATAVE TË SHOQËRISË CIVILE</w:t>
      </w:r>
    </w:p>
    <w:p w14:paraId="7E983F37" w14:textId="6ED596C1" w:rsidR="004C31B6" w:rsidRPr="00BA6193" w:rsidRDefault="004C31B6" w:rsidP="004C31B6">
      <w:pPr>
        <w:pStyle w:val="Heading3"/>
        <w:numPr>
          <w:ilvl w:val="0"/>
          <w:numId w:val="7"/>
        </w:numPr>
        <w:spacing w:before="120" w:after="120"/>
        <w:jc w:val="left"/>
        <w:rPr>
          <w:rFonts w:ascii="Times New Roman" w:hAnsi="Times New Roman" w:cs="Times New Roman"/>
          <w:b/>
          <w:sz w:val="24"/>
          <w:szCs w:val="24"/>
        </w:rPr>
      </w:pPr>
      <w:r w:rsidRPr="00BA6193">
        <w:rPr>
          <w:rFonts w:ascii="Times New Roman" w:hAnsi="Times New Roman" w:cs="Times New Roman"/>
          <w:b/>
          <w:spacing w:val="-3"/>
          <w:sz w:val="24"/>
          <w:szCs w:val="24"/>
        </w:rPr>
        <w:lastRenderedPageBreak/>
        <w:t>INFORMACION I PËRGJITHSHËM</w:t>
      </w:r>
    </w:p>
    <w:p w14:paraId="31BE1904" w14:textId="77777777" w:rsidR="004C31B6" w:rsidRPr="004C31B6" w:rsidRDefault="004C31B6" w:rsidP="004C31B6">
      <w:pPr>
        <w:pStyle w:val="BodyText"/>
        <w:spacing w:before="120" w:after="120"/>
        <w:rPr>
          <w:rFonts w:ascii="Times New Roman" w:hAnsi="Times New Roman" w:cs="Times New Roman"/>
        </w:rPr>
      </w:pPr>
    </w:p>
    <w:p w14:paraId="64D287FE" w14:textId="3226D40D" w:rsidR="004C31B6" w:rsidRPr="004C31B6" w:rsidRDefault="004C31B6" w:rsidP="004C31B6">
      <w:pPr>
        <w:spacing w:before="120" w:after="120"/>
        <w:jc w:val="both"/>
        <w:rPr>
          <w:rFonts w:ascii="Times New Roman" w:eastAsia="Calibri Light" w:hAnsi="Times New Roman" w:cs="Times New Roman"/>
          <w:sz w:val="24"/>
          <w:szCs w:val="24"/>
          <w:bdr w:val="none" w:sz="0" w:space="0" w:color="auto"/>
          <w:lang w:val="sq-AL"/>
        </w:rPr>
      </w:pPr>
      <w:r w:rsidRPr="004C31B6">
        <w:rPr>
          <w:rFonts w:ascii="Times New Roman" w:eastAsia="Calibri Light" w:hAnsi="Times New Roman" w:cs="Times New Roman"/>
          <w:sz w:val="24"/>
          <w:szCs w:val="24"/>
          <w:bdr w:val="none" w:sz="0" w:space="0" w:color="auto"/>
          <w:lang w:val="sq-AL"/>
        </w:rPr>
        <w:t xml:space="preserve">Projekti SMART Balkans zbatohet nga konsorciumi i organizatave: </w:t>
      </w:r>
      <w:r w:rsidR="00F82843" w:rsidRPr="00F82843">
        <w:rPr>
          <w:rFonts w:ascii="Times New Roman" w:eastAsia="Calibri Light" w:hAnsi="Times New Roman" w:cs="Times New Roman"/>
          <w:sz w:val="24"/>
          <w:szCs w:val="24"/>
          <w:bdr w:val="none" w:sz="0" w:space="0" w:color="auto"/>
          <w:lang w:val="sq-AL"/>
        </w:rPr>
        <w:t xml:space="preserve">Centar za promociju civilnog društva (CPCD) </w:t>
      </w:r>
      <w:r w:rsidRPr="004C31B6">
        <w:rPr>
          <w:rFonts w:ascii="Times New Roman" w:eastAsia="Calibri Light" w:hAnsi="Times New Roman" w:cs="Times New Roman"/>
          <w:sz w:val="24"/>
          <w:szCs w:val="24"/>
          <w:bdr w:val="none" w:sz="0" w:space="0" w:color="auto"/>
          <w:lang w:val="sq-AL"/>
        </w:rPr>
        <w:t xml:space="preserve"> nga Bosnja dhe Hercegovina si aplikant kryesor, në partneritet me </w:t>
      </w:r>
      <w:r w:rsidR="0010006B" w:rsidRPr="0010006B">
        <w:rPr>
          <w:rFonts w:ascii="Times New Roman" w:eastAsia="Calibri Light" w:hAnsi="Times New Roman" w:cs="Times New Roman"/>
          <w:sz w:val="24"/>
          <w:szCs w:val="24"/>
          <w:bdr w:val="none" w:sz="0" w:space="0" w:color="auto"/>
          <w:lang w:val="sq-AL"/>
        </w:rPr>
        <w:t xml:space="preserve">Center for Research and Policy Making </w:t>
      </w:r>
      <w:r w:rsidRPr="004C31B6">
        <w:rPr>
          <w:rFonts w:ascii="Times New Roman" w:eastAsia="Calibri Light" w:hAnsi="Times New Roman" w:cs="Times New Roman"/>
          <w:sz w:val="24"/>
          <w:szCs w:val="24"/>
          <w:bdr w:val="none" w:sz="0" w:space="0" w:color="auto"/>
          <w:lang w:val="sq-AL"/>
        </w:rPr>
        <w:t xml:space="preserve">(CRPM) nga Maqedonia e Veriut dhe Instituti për Demokraci dhe Ndërmjetësim (IDM) nga Shqipëria. </w:t>
      </w:r>
    </w:p>
    <w:p w14:paraId="7BB7F76F" w14:textId="2A97B4D6" w:rsidR="004C31B6" w:rsidRPr="004C31B6" w:rsidRDefault="004C31B6" w:rsidP="004C31B6">
      <w:pPr>
        <w:spacing w:before="120" w:after="120"/>
        <w:jc w:val="both"/>
        <w:rPr>
          <w:rFonts w:ascii="Times New Roman" w:eastAsia="Calibri Light" w:hAnsi="Times New Roman" w:cs="Times New Roman"/>
          <w:sz w:val="24"/>
          <w:szCs w:val="24"/>
          <w:bdr w:val="none" w:sz="0" w:space="0" w:color="auto"/>
          <w:lang w:val="sq-AL"/>
        </w:rPr>
      </w:pPr>
      <w:r w:rsidRPr="004C31B6">
        <w:rPr>
          <w:rFonts w:ascii="Times New Roman" w:eastAsia="Calibri Light" w:hAnsi="Times New Roman" w:cs="Times New Roman"/>
          <w:sz w:val="24"/>
          <w:szCs w:val="24"/>
          <w:bdr w:val="none" w:sz="0" w:space="0" w:color="auto"/>
          <w:lang w:val="sq-AL"/>
        </w:rPr>
        <w:t xml:space="preserve">Konsorciumi është përgjegjës për të gjitha aspektet e procesit të menaxhimit të granteve dhe do të sigurojë që të gjitha grantet të menaxhohen në përputhje me rregulloret e donatorëve dhe procedurat e brendshme të secilit partner. Fokusi kryesor i Projektit SMART Balkans është shpërndarja e më shumë se 450 granteve dhe ngritja e kapaciteteve të OShC-ve, të lidhura me dy fusha tematike: Sigurinë </w:t>
      </w:r>
      <w:r w:rsidR="00EE2B19">
        <w:rPr>
          <w:rFonts w:ascii="Times New Roman" w:eastAsia="Calibri Light" w:hAnsi="Times New Roman" w:cs="Times New Roman"/>
          <w:sz w:val="24"/>
          <w:szCs w:val="24"/>
          <w:bdr w:val="none" w:sz="0" w:space="0" w:color="auto"/>
          <w:lang w:val="sq-AL"/>
        </w:rPr>
        <w:t>dhe</w:t>
      </w:r>
      <w:r w:rsidRPr="004C31B6">
        <w:rPr>
          <w:rFonts w:ascii="Times New Roman" w:eastAsia="Calibri Light" w:hAnsi="Times New Roman" w:cs="Times New Roman"/>
          <w:sz w:val="24"/>
          <w:szCs w:val="24"/>
          <w:bdr w:val="none" w:sz="0" w:space="0" w:color="auto"/>
          <w:lang w:val="sq-AL"/>
        </w:rPr>
        <w:t xml:space="preserve"> stabilitetin dhe Qeverisjen e mirë. </w:t>
      </w:r>
    </w:p>
    <w:p w14:paraId="5B9C4732" w14:textId="77777777" w:rsidR="004C31B6" w:rsidRPr="004C31B6" w:rsidRDefault="004C31B6" w:rsidP="004C31B6">
      <w:pPr>
        <w:spacing w:before="120" w:after="120"/>
        <w:jc w:val="both"/>
        <w:rPr>
          <w:rFonts w:ascii="Times New Roman" w:eastAsia="Calibri Light" w:hAnsi="Times New Roman" w:cs="Times New Roman"/>
          <w:sz w:val="24"/>
          <w:szCs w:val="24"/>
          <w:bdr w:val="none" w:sz="0" w:space="0" w:color="auto"/>
          <w:lang w:val="sq-AL"/>
        </w:rPr>
      </w:pPr>
      <w:r w:rsidRPr="004C31B6">
        <w:rPr>
          <w:rFonts w:ascii="Times New Roman" w:eastAsia="Calibri Light" w:hAnsi="Times New Roman" w:cs="Times New Roman"/>
          <w:sz w:val="24"/>
          <w:szCs w:val="24"/>
          <w:bdr w:val="none" w:sz="0" w:space="0" w:color="auto"/>
          <w:lang w:val="sq-AL"/>
        </w:rPr>
        <w:t xml:space="preserve">Ngritja e kapaciteteve të përfituesve të granteve do të sigurohet përmes ofrimit të mbështetjes financiare, si dhe shërbimeve që organizata të shoqërisë civile kanë nevojë për të arritur qëllimet e tyre. </w:t>
      </w:r>
    </w:p>
    <w:p w14:paraId="416B4353" w14:textId="77777777" w:rsidR="004C31B6" w:rsidRPr="004C31B6" w:rsidRDefault="004C31B6" w:rsidP="004C31B6">
      <w:pPr>
        <w:pStyle w:val="Heading3"/>
        <w:spacing w:before="120" w:after="120"/>
        <w:rPr>
          <w:rFonts w:ascii="Times New Roman" w:hAnsi="Times New Roman" w:cs="Times New Roman"/>
          <w:spacing w:val="-2"/>
          <w:sz w:val="24"/>
          <w:szCs w:val="24"/>
        </w:rPr>
      </w:pPr>
    </w:p>
    <w:p w14:paraId="4B0294B4" w14:textId="5A549392" w:rsidR="004C31B6" w:rsidRPr="00BA6193" w:rsidRDefault="004C31B6" w:rsidP="00BA6193">
      <w:pPr>
        <w:pStyle w:val="Heading3"/>
        <w:numPr>
          <w:ilvl w:val="0"/>
          <w:numId w:val="7"/>
        </w:numPr>
        <w:spacing w:before="120" w:after="120"/>
        <w:jc w:val="left"/>
        <w:rPr>
          <w:rFonts w:ascii="Times New Roman" w:hAnsi="Times New Roman" w:cs="Times New Roman"/>
          <w:b/>
          <w:sz w:val="24"/>
          <w:szCs w:val="24"/>
        </w:rPr>
      </w:pPr>
      <w:r w:rsidRPr="00BA6193">
        <w:rPr>
          <w:rFonts w:ascii="Times New Roman" w:hAnsi="Times New Roman" w:cs="Times New Roman"/>
          <w:b/>
          <w:spacing w:val="-2"/>
          <w:sz w:val="24"/>
          <w:szCs w:val="24"/>
        </w:rPr>
        <w:t>OBJEKTIVAT DHE REZULTATET E PRITSHME</w:t>
      </w:r>
    </w:p>
    <w:p w14:paraId="3D0F9728" w14:textId="77777777" w:rsidR="004C31B6" w:rsidRPr="004C31B6" w:rsidRDefault="004C31B6" w:rsidP="004C31B6">
      <w:pPr>
        <w:pStyle w:val="BodyText"/>
        <w:spacing w:before="120" w:after="120"/>
        <w:rPr>
          <w:rFonts w:ascii="Times New Roman" w:hAnsi="Times New Roman" w:cs="Times New Roman"/>
        </w:rPr>
      </w:pPr>
    </w:p>
    <w:p w14:paraId="1A26A43D" w14:textId="74F1AF6E" w:rsidR="004C31B6" w:rsidRPr="004C31B6" w:rsidRDefault="004C31B6" w:rsidP="004C31B6">
      <w:pPr>
        <w:spacing w:before="120" w:after="120"/>
        <w:jc w:val="both"/>
        <w:rPr>
          <w:rFonts w:ascii="Times New Roman" w:eastAsia="Calibri Light" w:hAnsi="Times New Roman" w:cs="Times New Roman"/>
          <w:sz w:val="24"/>
          <w:szCs w:val="24"/>
          <w:bdr w:val="none" w:sz="0" w:space="0" w:color="auto"/>
          <w:lang w:val="sq-AL"/>
        </w:rPr>
      </w:pPr>
      <w:r w:rsidRPr="00BA6193">
        <w:rPr>
          <w:rFonts w:ascii="Times New Roman" w:eastAsia="Calibri Light" w:hAnsi="Times New Roman" w:cs="Times New Roman"/>
          <w:sz w:val="24"/>
          <w:szCs w:val="24"/>
          <w:bdr w:val="none" w:sz="0" w:space="0" w:color="auto"/>
          <w:lang w:val="sq-AL"/>
        </w:rPr>
        <w:t>Qëllimi i përgjithshëm i thirrjes është angazhimi i mentorëve (ekspertëve) kombëtarë për të ofruar mbështetje mentoruese për OSHC-të në gjashtë vendet përfituese</w:t>
      </w:r>
      <w:r w:rsidR="0010006B">
        <w:rPr>
          <w:rFonts w:ascii="Times New Roman" w:eastAsia="Calibri Light" w:hAnsi="Times New Roman" w:cs="Times New Roman"/>
          <w:sz w:val="24"/>
          <w:szCs w:val="24"/>
          <w:bdr w:val="none" w:sz="0" w:space="0" w:color="auto"/>
          <w:lang w:val="sq-AL"/>
        </w:rPr>
        <w:t xml:space="preserve"> të projektit</w:t>
      </w:r>
      <w:r w:rsidRPr="00BA6193">
        <w:rPr>
          <w:rFonts w:ascii="Times New Roman" w:eastAsia="Calibri Light" w:hAnsi="Times New Roman" w:cs="Times New Roman"/>
          <w:sz w:val="24"/>
          <w:szCs w:val="24"/>
          <w:bdr w:val="none" w:sz="0" w:space="0" w:color="auto"/>
          <w:lang w:val="sq-AL"/>
        </w:rPr>
        <w:t xml:space="preserve"> (Bosnje dhe Hercegovinë, Serbi, Mal i Zi, Shqipëri, Kosovë dhe Maqedoni e Veriut), me qëllim rritjen dhe forcimin e kapaciteteteve të OSHC-ve drejt </w:t>
      </w:r>
      <w:r w:rsidR="0010006B">
        <w:rPr>
          <w:rFonts w:ascii="Times New Roman" w:eastAsia="Calibri Light" w:hAnsi="Times New Roman" w:cs="Times New Roman"/>
          <w:sz w:val="24"/>
          <w:szCs w:val="24"/>
          <w:bdr w:val="none" w:sz="0" w:space="0" w:color="auto"/>
          <w:lang w:val="sq-AL"/>
        </w:rPr>
        <w:t xml:space="preserve">krjimit </w:t>
      </w:r>
      <w:r w:rsidRPr="00BA6193">
        <w:rPr>
          <w:rFonts w:ascii="Times New Roman" w:eastAsia="Calibri Light" w:hAnsi="Times New Roman" w:cs="Times New Roman"/>
          <w:sz w:val="24"/>
          <w:szCs w:val="24"/>
          <w:bdr w:val="none" w:sz="0" w:space="0" w:color="auto"/>
          <w:lang w:val="sq-AL"/>
        </w:rPr>
        <w:t>të shoqërive më të qëndrueshme dhe më aktive në vendet përfituese. Më konkretisht, mbështetja mentoruese për OSHC-të në gjashtë vendet përfituese do të përfshijë ofrimin e ekspertizës dhe këshillave bazuar në nevojat specifike për zhvillimin e OSHC-ve ose për t'i ndihmuar ato të kapërcejnë disa</w:t>
      </w:r>
      <w:r w:rsidR="0010006B">
        <w:rPr>
          <w:rFonts w:ascii="Times New Roman" w:eastAsia="Calibri Light" w:hAnsi="Times New Roman" w:cs="Times New Roman"/>
          <w:sz w:val="24"/>
          <w:szCs w:val="24"/>
          <w:bdr w:val="none" w:sz="0" w:space="0" w:color="auto"/>
          <w:lang w:val="sq-AL"/>
        </w:rPr>
        <w:t xml:space="preserve"> barriera </w:t>
      </w:r>
      <w:r w:rsidRPr="00BA6193">
        <w:rPr>
          <w:rFonts w:ascii="Times New Roman" w:eastAsia="Calibri Light" w:hAnsi="Times New Roman" w:cs="Times New Roman"/>
          <w:sz w:val="24"/>
          <w:szCs w:val="24"/>
          <w:bdr w:val="none" w:sz="0" w:space="0" w:color="auto"/>
          <w:lang w:val="sq-AL"/>
        </w:rPr>
        <w:t>specifike që at</w:t>
      </w:r>
      <w:r w:rsidR="0010006B">
        <w:rPr>
          <w:rFonts w:ascii="Times New Roman" w:eastAsia="Calibri Light" w:hAnsi="Times New Roman" w:cs="Times New Roman"/>
          <w:sz w:val="24"/>
          <w:szCs w:val="24"/>
          <w:bdr w:val="none" w:sz="0" w:space="0" w:color="auto"/>
          <w:lang w:val="sq-AL"/>
        </w:rPr>
        <w:t>o</w:t>
      </w:r>
      <w:r w:rsidRPr="00BA6193">
        <w:rPr>
          <w:rFonts w:ascii="Times New Roman" w:eastAsia="Calibri Light" w:hAnsi="Times New Roman" w:cs="Times New Roman"/>
          <w:sz w:val="24"/>
          <w:szCs w:val="24"/>
          <w:bdr w:val="none" w:sz="0" w:space="0" w:color="auto"/>
          <w:lang w:val="sq-AL"/>
        </w:rPr>
        <w:t xml:space="preserve"> kanë hasur gjatë punës së përditshme në lidhje me fushat e mëposhtme (por jo vetëm) </w:t>
      </w:r>
      <w:r w:rsidR="00BA6193">
        <w:rPr>
          <w:rStyle w:val="FootnoteReference"/>
          <w:rFonts w:eastAsia="Calibri Light" w:cs="Times New Roman"/>
          <w:szCs w:val="24"/>
          <w:bdr w:val="none" w:sz="0" w:space="0" w:color="auto"/>
          <w:lang w:val="sq-AL"/>
        </w:rPr>
        <w:footnoteReference w:id="1"/>
      </w:r>
      <w:r w:rsidRPr="004C31B6">
        <w:rPr>
          <w:rFonts w:ascii="Times New Roman" w:eastAsia="Calibri Light" w:hAnsi="Times New Roman" w:cs="Times New Roman"/>
          <w:sz w:val="24"/>
          <w:szCs w:val="24"/>
          <w:bdr w:val="none" w:sz="0" w:space="0" w:color="auto"/>
          <w:lang w:val="sq-AL"/>
        </w:rPr>
        <w:t xml:space="preserve">: </w:t>
      </w:r>
    </w:p>
    <w:p w14:paraId="57776F4E" w14:textId="77777777" w:rsidR="004C31B6" w:rsidRPr="00BA6193" w:rsidRDefault="004C31B6" w:rsidP="004C31B6">
      <w:pPr>
        <w:pStyle w:val="ListParagraph"/>
        <w:numPr>
          <w:ilvl w:val="0"/>
          <w:numId w:val="6"/>
        </w:numPr>
        <w:spacing w:before="120" w:after="120"/>
        <w:jc w:val="both"/>
        <w:rPr>
          <w:rFonts w:ascii="Times New Roman" w:hAnsi="Times New Roman" w:cs="Times New Roman"/>
          <w:color w:val="000000"/>
          <w:sz w:val="24"/>
          <w:szCs w:val="24"/>
          <w:lang w:val="sq-AL" w:eastAsia="en-GB"/>
        </w:rPr>
      </w:pPr>
      <w:r w:rsidRPr="00BA6193">
        <w:rPr>
          <w:rFonts w:ascii="Times New Roman" w:hAnsi="Times New Roman" w:cs="Times New Roman"/>
          <w:color w:val="000000"/>
          <w:sz w:val="24"/>
          <w:szCs w:val="24"/>
          <w:lang w:val="sq-AL" w:eastAsia="en-GB"/>
        </w:rPr>
        <w:t>Menaxhimi i organizatës</w:t>
      </w:r>
    </w:p>
    <w:p w14:paraId="1BF5F78D" w14:textId="76CAD41F" w:rsidR="004C31B6" w:rsidRPr="007929AD" w:rsidRDefault="004C31B6"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Style w:val="rynqvb"/>
          <w:rFonts w:ascii="Times New Roman" w:hAnsi="Times New Roman" w:cs="Times New Roman"/>
          <w:sz w:val="24"/>
          <w:szCs w:val="24"/>
          <w:lang w:val="sq-AL"/>
        </w:rPr>
        <w:t>Planifikimi strategjik</w:t>
      </w:r>
    </w:p>
    <w:p w14:paraId="4626AB7F" w14:textId="328AA503" w:rsidR="004C31B6" w:rsidRPr="007929AD" w:rsidRDefault="004C31B6"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Style w:val="rynqvb"/>
          <w:rFonts w:ascii="Times New Roman" w:hAnsi="Times New Roman" w:cs="Times New Roman"/>
          <w:sz w:val="24"/>
          <w:szCs w:val="24"/>
          <w:lang w:val="sq-AL"/>
        </w:rPr>
        <w:t xml:space="preserve">Menaxhimi (Burime Njerëzore dhe Menaxhim Organizativ) </w:t>
      </w:r>
    </w:p>
    <w:p w14:paraId="548E07B8" w14:textId="38491DBC" w:rsidR="004C31B6" w:rsidRPr="007929AD" w:rsidRDefault="004C31B6"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Style w:val="rynqvb"/>
          <w:rFonts w:ascii="Times New Roman" w:hAnsi="Times New Roman" w:cs="Times New Roman"/>
          <w:sz w:val="24"/>
          <w:szCs w:val="24"/>
          <w:lang w:val="sq-AL"/>
        </w:rPr>
        <w:t>Lidershipi</w:t>
      </w:r>
    </w:p>
    <w:p w14:paraId="67CAFCDA" w14:textId="3706CA03" w:rsidR="004C31B6" w:rsidRPr="007929AD" w:rsidRDefault="004C31B6"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Style w:val="rynqvb"/>
          <w:rFonts w:ascii="Times New Roman" w:hAnsi="Times New Roman" w:cs="Times New Roman"/>
          <w:sz w:val="24"/>
          <w:szCs w:val="24"/>
          <w:lang w:val="sq-AL"/>
        </w:rPr>
        <w:t>Monitorimi dhe vlerësimi</w:t>
      </w:r>
    </w:p>
    <w:p w14:paraId="71531D52" w14:textId="57D971E5" w:rsidR="004C31B6" w:rsidRPr="007929AD" w:rsidRDefault="004C31B6"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Style w:val="rynqvb"/>
          <w:rFonts w:ascii="Times New Roman" w:hAnsi="Times New Roman" w:cs="Times New Roman"/>
          <w:sz w:val="24"/>
          <w:szCs w:val="24"/>
          <w:lang w:val="sq-AL"/>
        </w:rPr>
        <w:lastRenderedPageBreak/>
        <w:t>Puna e orientuar nga rezultatet dhe raportimi (duke përfshirë zbatimin e projekteve)</w:t>
      </w:r>
    </w:p>
    <w:p w14:paraId="1C98C2BC" w14:textId="592A45B9" w:rsidR="004C31B6" w:rsidRPr="004C31B6" w:rsidRDefault="004C31B6" w:rsidP="004C31B6">
      <w:pPr>
        <w:pStyle w:val="ListParagraph"/>
        <w:numPr>
          <w:ilvl w:val="0"/>
          <w:numId w:val="6"/>
        </w:numPr>
        <w:spacing w:before="120" w:after="120"/>
        <w:jc w:val="both"/>
        <w:rPr>
          <w:rStyle w:val="rynqvb"/>
          <w:rFonts w:ascii="Times New Roman" w:hAnsi="Times New Roman" w:cs="Times New Roman"/>
          <w:sz w:val="24"/>
          <w:szCs w:val="24"/>
          <w:lang w:val="sq-AL"/>
        </w:rPr>
      </w:pPr>
      <w:r w:rsidRPr="004C31B6">
        <w:rPr>
          <w:rStyle w:val="rynqvb"/>
          <w:rFonts w:ascii="Times New Roman" w:hAnsi="Times New Roman" w:cs="Times New Roman"/>
          <w:sz w:val="24"/>
          <w:szCs w:val="24"/>
          <w:lang w:val="sq-AL"/>
        </w:rPr>
        <w:t>Advoka</w:t>
      </w:r>
      <w:r w:rsidR="00F80308">
        <w:rPr>
          <w:rStyle w:val="rynqvb"/>
          <w:rFonts w:ascii="Times New Roman" w:hAnsi="Times New Roman" w:cs="Times New Roman"/>
          <w:sz w:val="24"/>
          <w:szCs w:val="24"/>
          <w:lang w:val="sq-AL"/>
        </w:rPr>
        <w:t>c</w:t>
      </w:r>
      <w:r w:rsidRPr="004C31B6">
        <w:rPr>
          <w:rStyle w:val="rynqvb"/>
          <w:rFonts w:ascii="Times New Roman" w:hAnsi="Times New Roman" w:cs="Times New Roman"/>
          <w:sz w:val="24"/>
          <w:szCs w:val="24"/>
          <w:lang w:val="sq-AL"/>
        </w:rPr>
        <w:t>ia dhe zhvillimi</w:t>
      </w:r>
    </w:p>
    <w:p w14:paraId="2B736829" w14:textId="46D1DC75"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Avokimi (zhvillimi i dokumenteve politik, hulumtimi etj.)</w:t>
      </w:r>
    </w:p>
    <w:p w14:paraId="056FB9C6" w14:textId="6777B3DF"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Puna me bashkëpuntorë dhe palët e interesit</w:t>
      </w:r>
    </w:p>
    <w:p w14:paraId="2A36A258" w14:textId="1ED2A799"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Komunikimi dhe promovimi</w:t>
      </w:r>
    </w:p>
    <w:p w14:paraId="0CFED367" w14:textId="60D36E48" w:rsidR="004C31B6" w:rsidRPr="007929AD" w:rsidRDefault="0010006B" w:rsidP="007929AD">
      <w:pPr>
        <w:pStyle w:val="ListParagraph"/>
        <w:numPr>
          <w:ilvl w:val="0"/>
          <w:numId w:val="8"/>
        </w:numPr>
        <w:spacing w:before="120" w:after="120"/>
        <w:jc w:val="both"/>
        <w:rPr>
          <w:rStyle w:val="rynqvb"/>
          <w:rFonts w:ascii="Times New Roman" w:hAnsi="Times New Roman" w:cs="Times New Roman"/>
          <w:sz w:val="24"/>
          <w:szCs w:val="24"/>
          <w:lang w:val="sq-AL"/>
        </w:rPr>
      </w:pPr>
      <w:r w:rsidRPr="007929AD">
        <w:rPr>
          <w:rFonts w:ascii="Times New Roman" w:hAnsi="Times New Roman" w:cs="Times New Roman"/>
          <w:sz w:val="24"/>
          <w:szCs w:val="24"/>
          <w:lang w:val="sq-AL"/>
        </w:rPr>
        <w:t xml:space="preserve">Ofrimi i shërbimeve </w:t>
      </w:r>
      <w:r w:rsidR="004C31B6" w:rsidRPr="007929AD">
        <w:rPr>
          <w:rStyle w:val="rynqvb"/>
          <w:rFonts w:ascii="Times New Roman" w:hAnsi="Times New Roman" w:cs="Times New Roman"/>
          <w:sz w:val="24"/>
          <w:szCs w:val="24"/>
          <w:lang w:val="sq-AL"/>
        </w:rPr>
        <w:t>drejt grupeve të synuara</w:t>
      </w:r>
    </w:p>
    <w:p w14:paraId="2700CA32" w14:textId="77777777" w:rsidR="004C31B6" w:rsidRPr="004C31B6" w:rsidRDefault="004C31B6" w:rsidP="004C31B6">
      <w:pPr>
        <w:pStyle w:val="ListParagraph"/>
        <w:numPr>
          <w:ilvl w:val="0"/>
          <w:numId w:val="6"/>
        </w:numPr>
        <w:spacing w:before="120" w:after="120"/>
        <w:jc w:val="both"/>
        <w:rPr>
          <w:rFonts w:ascii="Times New Roman" w:hAnsi="Times New Roman" w:cs="Times New Roman"/>
          <w:sz w:val="24"/>
          <w:szCs w:val="24"/>
        </w:rPr>
      </w:pPr>
      <w:r w:rsidRPr="004C31B6">
        <w:rPr>
          <w:rFonts w:ascii="Times New Roman" w:hAnsi="Times New Roman" w:cs="Times New Roman"/>
          <w:sz w:val="24"/>
          <w:szCs w:val="24"/>
          <w:lang w:val="sq-AL"/>
        </w:rPr>
        <w:t>Fushat tematike</w:t>
      </w:r>
    </w:p>
    <w:p w14:paraId="6459A758" w14:textId="73780A6B"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Siguria</w:t>
      </w:r>
    </w:p>
    <w:p w14:paraId="5E75CA3C" w14:textId="0D1AB329"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Stabiliteti</w:t>
      </w:r>
    </w:p>
    <w:p w14:paraId="67DC55E2" w14:textId="5193A6F7"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Qeverisja</w:t>
      </w:r>
    </w:p>
    <w:p w14:paraId="0AD7A322" w14:textId="1D9D8368"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Barazia Gjinore</w:t>
      </w:r>
    </w:p>
    <w:p w14:paraId="0D9A15A3" w14:textId="3E214B6C"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Mjedisi</w:t>
      </w:r>
    </w:p>
    <w:p w14:paraId="6B3CD039" w14:textId="2EEADC28" w:rsidR="004C31B6" w:rsidRPr="007929AD" w:rsidRDefault="004C31B6" w:rsidP="007929AD">
      <w:pPr>
        <w:pStyle w:val="ListParagraph"/>
        <w:numPr>
          <w:ilvl w:val="0"/>
          <w:numId w:val="8"/>
        </w:numPr>
        <w:spacing w:before="120" w:after="120"/>
        <w:jc w:val="both"/>
        <w:rPr>
          <w:rFonts w:ascii="Times New Roman" w:hAnsi="Times New Roman" w:cs="Times New Roman"/>
          <w:sz w:val="24"/>
          <w:szCs w:val="24"/>
          <w:lang w:val="sq-AL"/>
        </w:rPr>
      </w:pPr>
      <w:r w:rsidRPr="007929AD">
        <w:rPr>
          <w:rFonts w:ascii="Times New Roman" w:hAnsi="Times New Roman" w:cs="Times New Roman"/>
          <w:sz w:val="24"/>
          <w:szCs w:val="24"/>
          <w:lang w:val="sq-AL"/>
        </w:rPr>
        <w:t>Integrimi në BE</w:t>
      </w:r>
    </w:p>
    <w:p w14:paraId="170D1BE3" w14:textId="77777777" w:rsidR="004C31B6" w:rsidRPr="004C31B6" w:rsidRDefault="004C31B6" w:rsidP="004C31B6">
      <w:pPr>
        <w:pStyle w:val="ListParagraph"/>
        <w:numPr>
          <w:ilvl w:val="0"/>
          <w:numId w:val="6"/>
        </w:numPr>
        <w:spacing w:before="120" w:after="120"/>
        <w:jc w:val="both"/>
        <w:rPr>
          <w:rFonts w:ascii="Times New Roman" w:hAnsi="Times New Roman" w:cs="Times New Roman"/>
          <w:sz w:val="24"/>
          <w:szCs w:val="24"/>
        </w:rPr>
      </w:pPr>
      <w:proofErr w:type="spellStart"/>
      <w:r w:rsidRPr="004C31B6">
        <w:rPr>
          <w:rFonts w:ascii="Times New Roman" w:hAnsi="Times New Roman" w:cs="Times New Roman"/>
          <w:sz w:val="24"/>
          <w:szCs w:val="24"/>
        </w:rPr>
        <w:t>Kuadri</w:t>
      </w:r>
      <w:proofErr w:type="spellEnd"/>
      <w:r w:rsidRPr="004C31B6">
        <w:rPr>
          <w:rFonts w:ascii="Times New Roman" w:hAnsi="Times New Roman" w:cs="Times New Roman"/>
          <w:sz w:val="24"/>
          <w:szCs w:val="24"/>
        </w:rPr>
        <w:t xml:space="preserve"> </w:t>
      </w:r>
      <w:proofErr w:type="spellStart"/>
      <w:r w:rsidRPr="004C31B6">
        <w:rPr>
          <w:rFonts w:ascii="Times New Roman" w:hAnsi="Times New Roman" w:cs="Times New Roman"/>
          <w:sz w:val="24"/>
          <w:szCs w:val="24"/>
        </w:rPr>
        <w:t>ligjor</w:t>
      </w:r>
      <w:proofErr w:type="spellEnd"/>
      <w:r w:rsidRPr="004C31B6">
        <w:rPr>
          <w:rFonts w:ascii="Times New Roman" w:hAnsi="Times New Roman" w:cs="Times New Roman"/>
          <w:sz w:val="24"/>
          <w:szCs w:val="24"/>
        </w:rPr>
        <w:t xml:space="preserve"> </w:t>
      </w:r>
      <w:proofErr w:type="spellStart"/>
      <w:r w:rsidRPr="004C31B6">
        <w:rPr>
          <w:rFonts w:ascii="Times New Roman" w:hAnsi="Times New Roman" w:cs="Times New Roman"/>
          <w:sz w:val="24"/>
          <w:szCs w:val="24"/>
        </w:rPr>
        <w:t>dhe</w:t>
      </w:r>
      <w:proofErr w:type="spellEnd"/>
      <w:r w:rsidRPr="004C31B6">
        <w:rPr>
          <w:rFonts w:ascii="Times New Roman" w:hAnsi="Times New Roman" w:cs="Times New Roman"/>
          <w:sz w:val="24"/>
          <w:szCs w:val="24"/>
        </w:rPr>
        <w:t xml:space="preserve"> </w:t>
      </w:r>
      <w:proofErr w:type="spellStart"/>
      <w:r w:rsidRPr="004C31B6">
        <w:rPr>
          <w:rFonts w:ascii="Times New Roman" w:hAnsi="Times New Roman" w:cs="Times New Roman"/>
          <w:sz w:val="24"/>
          <w:szCs w:val="24"/>
        </w:rPr>
        <w:t>financiar</w:t>
      </w:r>
      <w:proofErr w:type="spellEnd"/>
    </w:p>
    <w:p w14:paraId="6CF38CA2" w14:textId="20CBCAD5" w:rsidR="004C31B6" w:rsidRPr="007929AD" w:rsidRDefault="007929AD" w:rsidP="007929AD">
      <w:pPr>
        <w:pStyle w:val="ListParagraph"/>
        <w:numPr>
          <w:ilvl w:val="0"/>
          <w:numId w:val="8"/>
        </w:numPr>
        <w:spacing w:before="120" w:after="120"/>
        <w:jc w:val="both"/>
        <w:rPr>
          <w:rFonts w:ascii="Times New Roman" w:hAnsi="Times New Roman" w:cs="Times New Roman"/>
          <w:sz w:val="24"/>
          <w:szCs w:val="24"/>
          <w:lang w:val="sq-AL"/>
        </w:rPr>
      </w:pPr>
      <w:r>
        <w:rPr>
          <w:rFonts w:ascii="Times New Roman" w:hAnsi="Times New Roman" w:cs="Times New Roman"/>
          <w:sz w:val="24"/>
          <w:szCs w:val="24"/>
          <w:lang w:val="sq-AL"/>
        </w:rPr>
        <w:t>Këshillimi/m</w:t>
      </w:r>
      <w:r w:rsidR="004C31B6" w:rsidRPr="007929AD">
        <w:rPr>
          <w:rFonts w:ascii="Times New Roman" w:hAnsi="Times New Roman" w:cs="Times New Roman"/>
          <w:sz w:val="24"/>
          <w:szCs w:val="24"/>
          <w:lang w:val="sq-AL"/>
        </w:rPr>
        <w:t xml:space="preserve">enaxhimi financiar (duke përfshirë </w:t>
      </w:r>
      <w:r w:rsidR="00EA6F54" w:rsidRPr="007929AD">
        <w:rPr>
          <w:rFonts w:ascii="Times New Roman" w:hAnsi="Times New Roman" w:cs="Times New Roman"/>
          <w:sz w:val="24"/>
          <w:szCs w:val="24"/>
          <w:lang w:val="sq-AL"/>
        </w:rPr>
        <w:t>sistemin e taksimit</w:t>
      </w:r>
      <w:r w:rsidR="004C31B6" w:rsidRPr="007929AD">
        <w:rPr>
          <w:rFonts w:ascii="Times New Roman" w:hAnsi="Times New Roman" w:cs="Times New Roman"/>
          <w:sz w:val="24"/>
          <w:szCs w:val="24"/>
          <w:lang w:val="sq-AL"/>
        </w:rPr>
        <w:t>)</w:t>
      </w:r>
    </w:p>
    <w:p w14:paraId="56671365" w14:textId="54EB136A" w:rsidR="004C31B6" w:rsidRPr="007929AD" w:rsidRDefault="007929AD" w:rsidP="007929AD">
      <w:pPr>
        <w:pStyle w:val="ListParagraph"/>
        <w:numPr>
          <w:ilvl w:val="0"/>
          <w:numId w:val="8"/>
        </w:numPr>
        <w:spacing w:before="120" w:after="120"/>
        <w:jc w:val="both"/>
        <w:rPr>
          <w:rFonts w:ascii="Times New Roman" w:hAnsi="Times New Roman" w:cs="Times New Roman"/>
          <w:sz w:val="24"/>
          <w:szCs w:val="24"/>
          <w:lang w:val="sq-AL"/>
        </w:rPr>
      </w:pPr>
      <w:r>
        <w:rPr>
          <w:rFonts w:ascii="Times New Roman" w:hAnsi="Times New Roman" w:cs="Times New Roman"/>
          <w:sz w:val="24"/>
          <w:szCs w:val="24"/>
          <w:lang w:val="sq-AL"/>
        </w:rPr>
        <w:t>Këshillimi/m</w:t>
      </w:r>
      <w:r w:rsidR="004C31B6" w:rsidRPr="007929AD">
        <w:rPr>
          <w:rFonts w:ascii="Times New Roman" w:hAnsi="Times New Roman" w:cs="Times New Roman"/>
          <w:sz w:val="24"/>
          <w:szCs w:val="24"/>
          <w:lang w:val="sq-AL"/>
        </w:rPr>
        <w:t>bështetje ligjore</w:t>
      </w:r>
    </w:p>
    <w:p w14:paraId="515D3447" w14:textId="732C6154" w:rsidR="004C31B6" w:rsidRPr="004C31B6" w:rsidRDefault="004C31B6" w:rsidP="004C31B6">
      <w:pPr>
        <w:pStyle w:val="BodyText"/>
        <w:spacing w:before="120" w:after="120"/>
        <w:rPr>
          <w:rFonts w:ascii="Times New Roman" w:eastAsia="Arial Unicode MS" w:hAnsi="Times New Roman" w:cs="Times New Roman"/>
          <w:bCs/>
          <w:bdr w:val="nil"/>
          <w:lang w:val="sq-AL"/>
        </w:rPr>
      </w:pPr>
      <w:r w:rsidRPr="004C31B6">
        <w:rPr>
          <w:rFonts w:ascii="Times New Roman" w:eastAsia="Arial Unicode MS" w:hAnsi="Times New Roman" w:cs="Times New Roman"/>
          <w:bCs/>
          <w:bdr w:val="nil"/>
          <w:lang w:val="sq-AL"/>
        </w:rPr>
        <w:t xml:space="preserve">Me qëllim të ofrimit të mbështetjes mentoruese, </w:t>
      </w:r>
      <w:r w:rsidR="00EA6F54">
        <w:rPr>
          <w:rFonts w:ascii="Times New Roman" w:eastAsia="Arial Unicode MS" w:hAnsi="Times New Roman" w:cs="Times New Roman"/>
          <w:bCs/>
          <w:bdr w:val="nil"/>
          <w:lang w:val="sq-AL"/>
        </w:rPr>
        <w:t xml:space="preserve">do të krijohet </w:t>
      </w:r>
      <w:r w:rsidRPr="004C31B6">
        <w:rPr>
          <w:rFonts w:ascii="Times New Roman" w:eastAsia="Arial Unicode MS" w:hAnsi="Times New Roman" w:cs="Times New Roman"/>
          <w:bCs/>
          <w:bdr w:val="nil"/>
          <w:lang w:val="sq-AL"/>
        </w:rPr>
        <w:t>grupi kombëtar i mentorëve</w:t>
      </w:r>
      <w:r w:rsidR="00EA6F54">
        <w:rPr>
          <w:rFonts w:ascii="Times New Roman" w:eastAsia="Arial Unicode MS" w:hAnsi="Times New Roman" w:cs="Times New Roman"/>
          <w:bCs/>
          <w:bdr w:val="nil"/>
          <w:lang w:val="sq-AL"/>
        </w:rPr>
        <w:t xml:space="preserve"> </w:t>
      </w:r>
      <w:r w:rsidRPr="004C31B6">
        <w:rPr>
          <w:rFonts w:ascii="Times New Roman" w:eastAsia="Arial Unicode MS" w:hAnsi="Times New Roman" w:cs="Times New Roman"/>
          <w:bCs/>
          <w:bdr w:val="nil"/>
          <w:lang w:val="sq-AL"/>
        </w:rPr>
        <w:t>për secilin nga shtetet përfituese. Mentorët kombëtarë do të zgjidhen në bazë të ekspertizës së tyre në fushat e përmendura më sipër dhe/ose ekspertizës tjetër përkatëse në lidhje me zhvillimin dhe mbështetjen e OSHC-ve. Partnerët e konsor</w:t>
      </w:r>
      <w:r w:rsidR="007929AD">
        <w:rPr>
          <w:rFonts w:ascii="Times New Roman" w:eastAsia="Arial Unicode MS" w:hAnsi="Times New Roman" w:cs="Times New Roman"/>
          <w:bCs/>
          <w:bdr w:val="nil"/>
          <w:lang w:val="sq-AL"/>
        </w:rPr>
        <w:t>c</w:t>
      </w:r>
      <w:r w:rsidRPr="004C31B6">
        <w:rPr>
          <w:rFonts w:ascii="Times New Roman" w:eastAsia="Arial Unicode MS" w:hAnsi="Times New Roman" w:cs="Times New Roman"/>
          <w:bCs/>
          <w:bdr w:val="nil"/>
          <w:lang w:val="sq-AL"/>
        </w:rPr>
        <w:t>ium</w:t>
      </w:r>
      <w:r w:rsidR="0010006B">
        <w:rPr>
          <w:rFonts w:ascii="Times New Roman" w:eastAsia="Arial Unicode MS" w:hAnsi="Times New Roman" w:cs="Times New Roman"/>
          <w:bCs/>
          <w:bdr w:val="nil"/>
          <w:lang w:val="sq-AL"/>
        </w:rPr>
        <w:t>it të</w:t>
      </w:r>
      <w:r w:rsidRPr="004C31B6">
        <w:rPr>
          <w:rFonts w:ascii="Times New Roman" w:eastAsia="Arial Unicode MS" w:hAnsi="Times New Roman" w:cs="Times New Roman"/>
          <w:bCs/>
          <w:bdr w:val="nil"/>
          <w:lang w:val="sq-AL"/>
        </w:rPr>
        <w:t xml:space="preserve"> </w:t>
      </w:r>
      <w:r w:rsidR="007929AD">
        <w:rPr>
          <w:rFonts w:ascii="Times New Roman" w:eastAsia="Arial Unicode MS" w:hAnsi="Times New Roman" w:cs="Times New Roman"/>
          <w:bCs/>
          <w:bdr w:val="nil"/>
          <w:lang w:val="sq-AL"/>
        </w:rPr>
        <w:t xml:space="preserve">projektit </w:t>
      </w:r>
      <w:r w:rsidRPr="004C31B6">
        <w:rPr>
          <w:rFonts w:ascii="Times New Roman" w:eastAsia="Arial Unicode MS" w:hAnsi="Times New Roman" w:cs="Times New Roman"/>
          <w:bCs/>
          <w:bdr w:val="nil"/>
          <w:lang w:val="sq-AL"/>
        </w:rPr>
        <w:t>SMART Balkans do të ofrojnë të dhëna për organizatën që do të ketë nevojë për mbeshtetje mentoruese.</w:t>
      </w:r>
    </w:p>
    <w:p w14:paraId="7FAB5B69" w14:textId="77777777" w:rsidR="004C31B6" w:rsidRPr="004C31B6" w:rsidRDefault="004C31B6" w:rsidP="004C31B6">
      <w:pPr>
        <w:pStyle w:val="BodyText"/>
        <w:spacing w:before="120" w:after="120"/>
        <w:rPr>
          <w:rFonts w:ascii="Times New Roman" w:hAnsi="Times New Roman" w:cs="Times New Roman"/>
        </w:rPr>
      </w:pPr>
    </w:p>
    <w:p w14:paraId="6BDEC041" w14:textId="77777777" w:rsidR="004C31B6" w:rsidRPr="00BA6193" w:rsidRDefault="004C31B6" w:rsidP="00BA6193">
      <w:pPr>
        <w:pStyle w:val="ListParagraph"/>
        <w:numPr>
          <w:ilvl w:val="0"/>
          <w:numId w:val="7"/>
        </w:numPr>
        <w:tabs>
          <w:tab w:val="left" w:pos="722"/>
        </w:tabs>
        <w:spacing w:before="120" w:after="120"/>
        <w:rPr>
          <w:rFonts w:ascii="Times New Roman" w:hAnsi="Times New Roman" w:cs="Times New Roman"/>
          <w:b/>
          <w:sz w:val="24"/>
          <w:szCs w:val="24"/>
        </w:rPr>
      </w:pPr>
      <w:r w:rsidRPr="00BA6193">
        <w:rPr>
          <w:rFonts w:ascii="Times New Roman" w:hAnsi="Times New Roman" w:cs="Times New Roman"/>
          <w:b/>
          <w:sz w:val="24"/>
          <w:szCs w:val="24"/>
        </w:rPr>
        <w:t>SHËRBIMI MENTORUES</w:t>
      </w:r>
    </w:p>
    <w:p w14:paraId="5B827A38" w14:textId="1150E99B" w:rsidR="004C31B6" w:rsidRPr="004C31B6" w:rsidRDefault="004C31B6" w:rsidP="004C31B6">
      <w:pPr>
        <w:pStyle w:val="BodyText"/>
        <w:spacing w:before="120" w:after="120"/>
        <w:jc w:val="both"/>
        <w:rPr>
          <w:rFonts w:ascii="Times New Roman" w:eastAsia="Arial Unicode MS" w:hAnsi="Times New Roman" w:cs="Times New Roman"/>
          <w:bdr w:val="nil"/>
          <w:lang w:val="sq-AL"/>
        </w:rPr>
      </w:pPr>
      <w:r w:rsidRPr="004C31B6">
        <w:rPr>
          <w:rFonts w:ascii="Times New Roman" w:eastAsia="Arial Unicode MS" w:hAnsi="Times New Roman" w:cs="Times New Roman"/>
          <w:bdr w:val="nil"/>
          <w:lang w:val="sq-AL"/>
        </w:rPr>
        <w:t>Gjatë mbështetjes mentoruese pritet që rreth 90 OSHC nga të gjasht</w:t>
      </w:r>
      <w:r w:rsidR="0010006B">
        <w:rPr>
          <w:rFonts w:ascii="Times New Roman" w:eastAsia="Arial Unicode MS" w:hAnsi="Times New Roman" w:cs="Times New Roman"/>
          <w:bdr w:val="nil"/>
          <w:lang w:val="sq-AL"/>
        </w:rPr>
        <w:t>a</w:t>
      </w:r>
      <w:r w:rsidRPr="004C31B6">
        <w:rPr>
          <w:rFonts w:ascii="Times New Roman" w:eastAsia="Arial Unicode MS" w:hAnsi="Times New Roman" w:cs="Times New Roman"/>
          <w:bdr w:val="nil"/>
          <w:lang w:val="sq-AL"/>
        </w:rPr>
        <w:t xml:space="preserve"> vendet përfituese të marrin mbështetje mentoruese në periudhën 2023 - 2025; </w:t>
      </w:r>
    </w:p>
    <w:p w14:paraId="4CEAA817" w14:textId="50B1E409" w:rsidR="004C31B6" w:rsidRPr="004C31B6" w:rsidRDefault="004C31B6" w:rsidP="0010006B">
      <w:pPr>
        <w:pStyle w:val="BodyText"/>
        <w:spacing w:before="120" w:after="120"/>
        <w:jc w:val="both"/>
        <w:rPr>
          <w:rFonts w:ascii="Times New Roman" w:hAnsi="Times New Roman" w:cs="Times New Roman"/>
        </w:rPr>
      </w:pPr>
      <w:r w:rsidRPr="004C31B6">
        <w:rPr>
          <w:rFonts w:ascii="Times New Roman" w:eastAsia="Arial Unicode MS" w:hAnsi="Times New Roman" w:cs="Times New Roman"/>
          <w:bdr w:val="nil"/>
          <w:lang w:val="sq-AL"/>
        </w:rPr>
        <w:t>Organizatat e konsorcium</w:t>
      </w:r>
      <w:r w:rsidR="0010006B">
        <w:rPr>
          <w:rFonts w:ascii="Times New Roman" w:eastAsia="Arial Unicode MS" w:hAnsi="Times New Roman" w:cs="Times New Roman"/>
          <w:bdr w:val="nil"/>
          <w:lang w:val="sq-AL"/>
        </w:rPr>
        <w:t>it</w:t>
      </w:r>
      <w:r w:rsidRPr="004C31B6">
        <w:rPr>
          <w:rFonts w:ascii="Times New Roman" w:eastAsia="Arial Unicode MS" w:hAnsi="Times New Roman" w:cs="Times New Roman"/>
          <w:bdr w:val="nil"/>
          <w:lang w:val="sq-AL"/>
        </w:rPr>
        <w:t xml:space="preserve"> do të ofrojnë gjithsej 30 ditë mentorimi për periudhën 3-vjeçare në secilin prej vendeve përfituese, pra 10 ditë mentorimi në vit. Mentorët kombëtarë do të angazhohen në bazë të ekspertizës së tyre dhe kërkesave e nevojave specifike të OSHC-ve. Mbështetja mund të përfshijë këshilla, punë në terren, përfshirje në krijimin e dokumenteve strategjike ose mbështetje në menaxhimin financiar dhe programatik të organizatës, menaxhimin e burimeve njerëzore, menaxhimin e projekteve dhe rritjen e vizibilitetit.</w:t>
      </w:r>
    </w:p>
    <w:p w14:paraId="613F58D7" w14:textId="77777777" w:rsidR="004C31B6" w:rsidRPr="00BA6193" w:rsidRDefault="004C31B6" w:rsidP="00BA6193">
      <w:pPr>
        <w:pStyle w:val="Heading3"/>
        <w:numPr>
          <w:ilvl w:val="0"/>
          <w:numId w:val="7"/>
        </w:numPr>
        <w:spacing w:before="120" w:after="120"/>
        <w:jc w:val="left"/>
        <w:rPr>
          <w:rFonts w:ascii="Times New Roman" w:hAnsi="Times New Roman" w:cs="Times New Roman"/>
          <w:b/>
          <w:sz w:val="24"/>
          <w:szCs w:val="24"/>
        </w:rPr>
      </w:pPr>
      <w:r w:rsidRPr="00BA6193">
        <w:rPr>
          <w:rFonts w:ascii="Times New Roman" w:hAnsi="Times New Roman" w:cs="Times New Roman"/>
          <w:b/>
          <w:spacing w:val="-1"/>
          <w:sz w:val="24"/>
          <w:szCs w:val="24"/>
        </w:rPr>
        <w:lastRenderedPageBreak/>
        <w:t>QËLLIMI I PUNËS</w:t>
      </w:r>
    </w:p>
    <w:p w14:paraId="56400BD1" w14:textId="3AFDAF9B" w:rsidR="004C31B6" w:rsidRPr="004C31B6" w:rsidRDefault="00470A05" w:rsidP="004C31B6">
      <w:pPr>
        <w:pStyle w:val="BodyText"/>
        <w:spacing w:before="120" w:after="120"/>
        <w:rPr>
          <w:rFonts w:ascii="Times New Roman" w:eastAsia="Arial Unicode MS" w:hAnsi="Times New Roman" w:cs="Times New Roman"/>
          <w:bdr w:val="nil"/>
          <w:lang w:val="sq-AL"/>
        </w:rPr>
      </w:pPr>
      <w:r>
        <w:rPr>
          <w:rFonts w:ascii="Times New Roman" w:eastAsia="Arial Unicode MS" w:hAnsi="Times New Roman" w:cs="Times New Roman"/>
          <w:bdr w:val="nil"/>
          <w:lang w:val="sq-AL"/>
        </w:rPr>
        <w:t xml:space="preserve">Projekti SMART Balkans do të ofrojë mbështetje mentoruese  për organizatat që ushtrojnë aktivitetin e tyre në </w:t>
      </w:r>
      <w:r w:rsidR="004C31B6" w:rsidRPr="004C31B6">
        <w:rPr>
          <w:rFonts w:ascii="Times New Roman" w:eastAsia="Arial Unicode MS" w:hAnsi="Times New Roman" w:cs="Times New Roman"/>
          <w:bdr w:val="nil"/>
          <w:lang w:val="sq-AL"/>
        </w:rPr>
        <w:t>secilin prej vendeve përfituese</w:t>
      </w:r>
      <w:r>
        <w:rPr>
          <w:rFonts w:ascii="Times New Roman" w:eastAsia="Arial Unicode MS" w:hAnsi="Times New Roman" w:cs="Times New Roman"/>
          <w:bdr w:val="nil"/>
          <w:lang w:val="sq-AL"/>
        </w:rPr>
        <w:t xml:space="preserve"> të projektit</w:t>
      </w:r>
      <w:r w:rsidR="004C31B6" w:rsidRPr="004C31B6">
        <w:rPr>
          <w:rFonts w:ascii="Times New Roman" w:eastAsia="Arial Unicode MS" w:hAnsi="Times New Roman" w:cs="Times New Roman"/>
          <w:bdr w:val="nil"/>
          <w:lang w:val="sq-AL"/>
        </w:rPr>
        <w:t>.</w:t>
      </w:r>
      <w:r>
        <w:rPr>
          <w:rFonts w:ascii="Times New Roman" w:eastAsia="Arial Unicode MS" w:hAnsi="Times New Roman" w:cs="Times New Roman"/>
          <w:bdr w:val="nil"/>
          <w:lang w:val="sq-AL"/>
        </w:rPr>
        <w:t xml:space="preserve"> Organizatat</w:t>
      </w:r>
      <w:r w:rsidR="004C31B6" w:rsidRPr="004C31B6">
        <w:rPr>
          <w:rFonts w:ascii="Times New Roman" w:eastAsia="Arial Unicode MS" w:hAnsi="Times New Roman" w:cs="Times New Roman"/>
          <w:bdr w:val="nil"/>
          <w:lang w:val="sq-AL"/>
        </w:rPr>
        <w:t xml:space="preserve"> pritet të shprehin nevojën për mbështetje mentoruese, te organizata zbatuese e projektit SMART Balkans, e cil</w:t>
      </w:r>
      <w:r w:rsidR="00462CB6">
        <w:rPr>
          <w:rFonts w:ascii="Times New Roman" w:eastAsia="Arial Unicode MS" w:hAnsi="Times New Roman" w:cs="Times New Roman"/>
          <w:bdr w:val="nil"/>
          <w:lang w:val="sq-AL"/>
        </w:rPr>
        <w:t>a</w:t>
      </w:r>
      <w:r w:rsidR="004C31B6" w:rsidRPr="004C31B6">
        <w:rPr>
          <w:rFonts w:ascii="Times New Roman" w:eastAsia="Arial Unicode MS" w:hAnsi="Times New Roman" w:cs="Times New Roman"/>
          <w:bdr w:val="nil"/>
          <w:lang w:val="sq-AL"/>
        </w:rPr>
        <w:t xml:space="preserve"> do t'i </w:t>
      </w:r>
      <w:r w:rsidR="00462CB6">
        <w:rPr>
          <w:rFonts w:ascii="Times New Roman" w:eastAsia="Arial Unicode MS" w:hAnsi="Times New Roman" w:cs="Times New Roman"/>
          <w:bdr w:val="nil"/>
          <w:lang w:val="sq-AL"/>
        </w:rPr>
        <w:t>lidhë</w:t>
      </w:r>
      <w:r w:rsidR="004C31B6" w:rsidRPr="004C31B6">
        <w:rPr>
          <w:rFonts w:ascii="Times New Roman" w:eastAsia="Arial Unicode MS" w:hAnsi="Times New Roman" w:cs="Times New Roman"/>
          <w:bdr w:val="nil"/>
          <w:lang w:val="sq-AL"/>
        </w:rPr>
        <w:t xml:space="preserve"> OSHC-të me një mentor kombëtar nga grupi i mentorëve bazuar në ekspertizën e tij/saj specifike.</w:t>
      </w:r>
    </w:p>
    <w:p w14:paraId="7212375A" w14:textId="77777777" w:rsidR="004C31B6" w:rsidRPr="004C31B6" w:rsidRDefault="004C31B6" w:rsidP="004C31B6">
      <w:pPr>
        <w:pStyle w:val="BodyText"/>
        <w:spacing w:before="120" w:after="120"/>
        <w:rPr>
          <w:rFonts w:ascii="Times New Roman" w:hAnsi="Times New Roman" w:cs="Times New Roman"/>
        </w:rPr>
      </w:pPr>
    </w:p>
    <w:p w14:paraId="3FE25D26"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rPr>
      </w:pPr>
      <w:r w:rsidRPr="00BA6193">
        <w:rPr>
          <w:rFonts w:ascii="Times New Roman" w:hAnsi="Times New Roman" w:cs="Times New Roman"/>
          <w:b/>
          <w:sz w:val="24"/>
          <w:szCs w:val="24"/>
        </w:rPr>
        <w:t>KODI I SJELLJES</w:t>
      </w:r>
    </w:p>
    <w:p w14:paraId="6A1C528B" w14:textId="1E9F3129" w:rsidR="004C31B6" w:rsidRP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Pritet që mentorët kombëtarë të ofrojnë mbështetje mentoruese bazuar në parimet dhe vlerat e promovuara nga projekti SMART Balkans, të cilat ndër të tjera janë: profesionalizmi, drejtësia dhe paanshmëria, konfidencialiteti dhe efikasiteti.</w:t>
      </w:r>
    </w:p>
    <w:p w14:paraId="5B97933C" w14:textId="77777777" w:rsidR="004C31B6" w:rsidRPr="004C31B6" w:rsidRDefault="004C31B6" w:rsidP="004C31B6">
      <w:pPr>
        <w:spacing w:before="120" w:after="120"/>
        <w:jc w:val="both"/>
        <w:rPr>
          <w:rFonts w:ascii="Times New Roman" w:hAnsi="Times New Roman" w:cs="Times New Roman"/>
          <w:sz w:val="24"/>
          <w:szCs w:val="24"/>
        </w:rPr>
      </w:pPr>
    </w:p>
    <w:p w14:paraId="60F83E7C"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rPr>
      </w:pPr>
      <w:r w:rsidRPr="00BA6193">
        <w:rPr>
          <w:rFonts w:ascii="Times New Roman" w:hAnsi="Times New Roman" w:cs="Times New Roman"/>
          <w:b/>
          <w:sz w:val="24"/>
          <w:szCs w:val="24"/>
        </w:rPr>
        <w:t>ZGJEDHJA E MENTORËVE KOMBËTARË</w:t>
      </w:r>
    </w:p>
    <w:p w14:paraId="2E820526" w14:textId="77777777" w:rsidR="004C31B6" w:rsidRPr="004C31B6" w:rsidRDefault="004C31B6" w:rsidP="004C31B6">
      <w:pPr>
        <w:spacing w:before="120" w:after="120"/>
        <w:jc w:val="both"/>
        <w:rPr>
          <w:rFonts w:ascii="Times New Roman" w:hAnsi="Times New Roman" w:cs="Times New Roman"/>
          <w:sz w:val="24"/>
          <w:szCs w:val="24"/>
        </w:rPr>
      </w:pPr>
      <w:r w:rsidRPr="004C31B6">
        <w:rPr>
          <w:rFonts w:ascii="Times New Roman" w:hAnsi="Times New Roman" w:cs="Times New Roman"/>
          <w:sz w:val="24"/>
          <w:szCs w:val="24"/>
          <w:lang w:val="sq-AL"/>
        </w:rPr>
        <w:t>Mentorët kombëtarë do të përzgjidhen në bazë të fushës së tyre të ekspertizës dhe disponibilitetit të tyre. Aplikimet për Mentorë Kombëtarë do të vlerësohen më 06.03.2023 dhe kandidatët e përzgjedhur në listën e ngushtë do të informohen se janë pjesë e grupit kombëtar të mentorëve.</w:t>
      </w:r>
    </w:p>
    <w:p w14:paraId="4D0C3E13" w14:textId="507AB6E9" w:rsidR="004C31B6" w:rsidRP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Përzgjedhja përfundimtare dhe angazhimi i mentorëve kombëtarë do të vendoset në një fazë të mëvonshme, në varësi të kërkesave dhe nevojave specifike të OSHC-ve në fushën e ekspertizës së mentorit. </w:t>
      </w:r>
    </w:p>
    <w:p w14:paraId="69B62C60" w14:textId="23173264" w:rsidR="004C31B6" w:rsidRP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Pas nënshkrimit të kontratës së shërbimit, mentorëve do t'i</w:t>
      </w:r>
      <w:r w:rsidR="00470A05">
        <w:rPr>
          <w:rFonts w:ascii="Times New Roman" w:hAnsi="Times New Roman" w:cs="Times New Roman"/>
          <w:sz w:val="24"/>
          <w:szCs w:val="24"/>
          <w:lang w:val="sq-AL"/>
        </w:rPr>
        <w:t>u për</w:t>
      </w:r>
      <w:r w:rsidRPr="004C31B6">
        <w:rPr>
          <w:rFonts w:ascii="Times New Roman" w:hAnsi="Times New Roman" w:cs="Times New Roman"/>
          <w:sz w:val="24"/>
          <w:szCs w:val="24"/>
          <w:lang w:val="sq-AL"/>
        </w:rPr>
        <w:t xml:space="preserve">caktohen OSHC-të me kërkesat dhe nevojat e tyre specifike për të cilat ai do të përgatisë raporte mentorimi pasi të japë mbështetje mentoruese. </w:t>
      </w:r>
    </w:p>
    <w:p w14:paraId="0CD1580A" w14:textId="77777777" w:rsidR="004C31B6" w:rsidRP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Këshillat e ofruara për OSHC-të duhet gjithashtu të shkruhen në një formë që mund të jetë e dobishme edhe për organizatat e tjera. Këshillat do të publikohen në faqen e internetit të projektit nën seksionin Resource Box (Hapesira Burimore), si dhe në rrjetet sociale të projektit.</w:t>
      </w:r>
    </w:p>
    <w:p w14:paraId="562B2018" w14:textId="77777777" w:rsidR="004C31B6" w:rsidRPr="004C31B6" w:rsidRDefault="004C31B6" w:rsidP="004C31B6">
      <w:pPr>
        <w:spacing w:before="120" w:after="120"/>
        <w:jc w:val="both"/>
        <w:rPr>
          <w:rFonts w:ascii="Times New Roman" w:hAnsi="Times New Roman" w:cs="Times New Roman"/>
          <w:sz w:val="24"/>
          <w:szCs w:val="24"/>
        </w:rPr>
      </w:pPr>
    </w:p>
    <w:p w14:paraId="4F7B15DB"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rPr>
      </w:pPr>
      <w:r w:rsidRPr="00BA6193">
        <w:rPr>
          <w:rFonts w:ascii="Times New Roman" w:hAnsi="Times New Roman" w:cs="Times New Roman"/>
          <w:b/>
          <w:sz w:val="24"/>
          <w:szCs w:val="24"/>
        </w:rPr>
        <w:t>PROFILI I MENTORËVE</w:t>
      </w:r>
    </w:p>
    <w:p w14:paraId="400243EE" w14:textId="77777777" w:rsidR="004C31B6" w:rsidRPr="004C31B6" w:rsidRDefault="004C31B6" w:rsidP="004C31B6">
      <w:pPr>
        <w:spacing w:before="120" w:after="120"/>
        <w:contextualSpacing/>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Aplikantët e suksesshëm për mentorë kombëtarë duhet: </w:t>
      </w:r>
    </w:p>
    <w:p w14:paraId="31F4E557" w14:textId="77777777" w:rsidR="004C31B6" w:rsidRPr="004C31B6" w:rsidRDefault="004C31B6" w:rsidP="004C31B6">
      <w:pPr>
        <w:spacing w:before="120" w:after="120"/>
        <w:contextualSpacing/>
        <w:jc w:val="both"/>
        <w:rPr>
          <w:rFonts w:ascii="Times New Roman" w:hAnsi="Times New Roman" w:cs="Times New Roman"/>
          <w:sz w:val="24"/>
          <w:szCs w:val="24"/>
        </w:rPr>
      </w:pPr>
      <w:r w:rsidRPr="004C31B6">
        <w:rPr>
          <w:rFonts w:ascii="Times New Roman" w:hAnsi="Times New Roman" w:cs="Times New Roman"/>
          <w:sz w:val="24"/>
          <w:szCs w:val="24"/>
          <w:lang w:val="sq-AL"/>
        </w:rPr>
        <w:t>a) Të ketë të paktën një diplomë universitare, mundësisht në shkencat shoqërore, ekonomi, drejtësi, studime për sigurinë, studime për paqen, administratën publike, studimet gjinore, shkencat politike ose fusha të tjera relevante, të lidhura me punën e organizatave të shoqërisë civile;</w:t>
      </w:r>
    </w:p>
    <w:p w14:paraId="1B0F1951" w14:textId="77777777" w:rsidR="004C31B6" w:rsidRPr="004C31B6" w:rsidRDefault="004C31B6" w:rsidP="004C31B6">
      <w:pPr>
        <w:spacing w:before="120" w:after="120"/>
        <w:contextualSpacing/>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b) Të ketë të paktën 5 vjet përvojë pune në fushën e ekspertizës specifike; </w:t>
      </w:r>
    </w:p>
    <w:p w14:paraId="2D4B02AE" w14:textId="77777777" w:rsidR="004C31B6" w:rsidRPr="004C31B6" w:rsidRDefault="004C31B6" w:rsidP="004C31B6">
      <w:pPr>
        <w:spacing w:before="120" w:after="120"/>
        <w:contextualSpacing/>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c) Përvoja e mëparshme e punës në sektorin civil do të konsiderohet si avantazh;</w:t>
      </w:r>
    </w:p>
    <w:p w14:paraId="0812A1C1" w14:textId="77777777" w:rsidR="00470A05" w:rsidRPr="00470A05" w:rsidRDefault="004C31B6" w:rsidP="00470A05">
      <w:pPr>
        <w:spacing w:before="120" w:after="120"/>
        <w:contextualSpacing/>
        <w:jc w:val="both"/>
        <w:rPr>
          <w:rFonts w:ascii="Times New Roman" w:hAnsi="Times New Roman" w:cs="Times New Roman"/>
          <w:sz w:val="18"/>
          <w:szCs w:val="18"/>
        </w:rPr>
      </w:pPr>
      <w:r w:rsidRPr="004C31B6">
        <w:rPr>
          <w:rFonts w:ascii="Times New Roman" w:hAnsi="Times New Roman" w:cs="Times New Roman"/>
          <w:sz w:val="24"/>
          <w:szCs w:val="24"/>
          <w:lang w:val="sq-AL"/>
        </w:rPr>
        <w:lastRenderedPageBreak/>
        <w:t>d) Ekspertizë në një ose më shumë nga fushat e mëposhtme</w:t>
      </w:r>
      <w:r w:rsidR="00470A05">
        <w:rPr>
          <w:rFonts w:ascii="Times New Roman" w:hAnsi="Times New Roman" w:cs="Times New Roman"/>
          <w:sz w:val="24"/>
          <w:szCs w:val="24"/>
          <w:lang w:val="sq-AL"/>
        </w:rPr>
        <w:t xml:space="preserve"> </w:t>
      </w:r>
      <w:r w:rsidR="00470A05" w:rsidRPr="004C31B6">
        <w:rPr>
          <w:rFonts w:ascii="Times New Roman" w:hAnsi="Times New Roman" w:cs="Times New Roman"/>
          <w:sz w:val="24"/>
          <w:szCs w:val="24"/>
          <w:lang w:val="sq-AL"/>
        </w:rPr>
        <w:t>të punës së OShC-ve</w:t>
      </w:r>
      <w:r w:rsidR="00470A05" w:rsidRPr="00470A05">
        <w:rPr>
          <w:rStyle w:val="FootnoteReference"/>
          <w:rFonts w:ascii="Times New Roman" w:hAnsi="Times New Roman" w:cs="Times New Roman"/>
          <w:sz w:val="18"/>
          <w:szCs w:val="18"/>
        </w:rPr>
        <w:footnoteReference w:id="2"/>
      </w:r>
    </w:p>
    <w:p w14:paraId="31B2A747" w14:textId="0C17E4DB" w:rsidR="004C31B6" w:rsidRPr="00470A05" w:rsidRDefault="004C31B6" w:rsidP="004C31B6">
      <w:pPr>
        <w:spacing w:before="120" w:after="120"/>
        <w:contextualSpacing/>
        <w:jc w:val="both"/>
        <w:rPr>
          <w:rFonts w:ascii="Times New Roman" w:hAnsi="Times New Roman" w:cs="Times New Roman"/>
          <w:sz w:val="18"/>
          <w:szCs w:val="18"/>
        </w:rPr>
      </w:pPr>
      <w:r w:rsidRPr="004C31B6">
        <w:rPr>
          <w:rFonts w:ascii="Times New Roman" w:hAnsi="Times New Roman" w:cs="Times New Roman"/>
          <w:sz w:val="24"/>
          <w:szCs w:val="24"/>
          <w:lang w:val="sq-AL"/>
        </w:rPr>
        <w:t xml:space="preserve"> (pa u kufizuar)</w:t>
      </w:r>
      <w:r w:rsidR="00470A05">
        <w:rPr>
          <w:rFonts w:ascii="Times New Roman" w:hAnsi="Times New Roman" w:cs="Times New Roman"/>
          <w:sz w:val="24"/>
          <w:szCs w:val="24"/>
          <w:lang w:val="sq-AL"/>
        </w:rPr>
        <w:t xml:space="preserve">: </w:t>
      </w:r>
    </w:p>
    <w:p w14:paraId="2DC80F02" w14:textId="0BB35511"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a. Planifikim strategjik; </w:t>
      </w:r>
    </w:p>
    <w:p w14:paraId="6EF48CC0"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b. Menaxhimi (Burime njerëzore dhe menaxhimi organizativ);</w:t>
      </w:r>
    </w:p>
    <w:p w14:paraId="36C89777"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c. Lidershipi;</w:t>
      </w:r>
    </w:p>
    <w:p w14:paraId="4867717E"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d. Shërbime të orientuara drejt nevojave të grupeve të synuara;</w:t>
      </w:r>
    </w:p>
    <w:p w14:paraId="4379D0A1"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f. Menaxhimi financiar (përfshirë taksat); </w:t>
      </w:r>
    </w:p>
    <w:p w14:paraId="334592DF"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g. Komunikimi dhe promovimi;</w:t>
      </w:r>
    </w:p>
    <w:p w14:paraId="0F203B73"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h. Puna me palë të tjera të interesuara; </w:t>
      </w:r>
    </w:p>
    <w:p w14:paraId="6295545C" w14:textId="77777777" w:rsidR="004C31B6" w:rsidRPr="004C31B6" w:rsidRDefault="004C31B6" w:rsidP="004C31B6">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i. Monitorimi dhe vlerësimi;</w:t>
      </w:r>
    </w:p>
    <w:p w14:paraId="3EE1F158" w14:textId="04DBC458" w:rsidR="004C31B6" w:rsidRPr="007929AD" w:rsidRDefault="004C31B6" w:rsidP="007929AD">
      <w:pPr>
        <w:pStyle w:val="ListParagraph"/>
        <w:tabs>
          <w:tab w:val="left" w:pos="942"/>
        </w:tabs>
        <w:spacing w:before="120" w:after="120"/>
        <w:ind w:left="361" w:firstLine="0"/>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j. </w:t>
      </w:r>
      <w:r w:rsidR="007929AD">
        <w:rPr>
          <w:rFonts w:ascii="Times New Roman" w:hAnsi="Times New Roman" w:cs="Times New Roman"/>
          <w:sz w:val="24"/>
          <w:szCs w:val="24"/>
          <w:lang w:val="sq-AL"/>
        </w:rPr>
        <w:t>Orientimi drejt r</w:t>
      </w:r>
      <w:r w:rsidRPr="004C31B6">
        <w:rPr>
          <w:rFonts w:ascii="Times New Roman" w:hAnsi="Times New Roman" w:cs="Times New Roman"/>
          <w:sz w:val="24"/>
          <w:szCs w:val="24"/>
          <w:lang w:val="sq-AL"/>
        </w:rPr>
        <w:t>ezultate</w:t>
      </w:r>
      <w:r w:rsidR="007929AD">
        <w:rPr>
          <w:rFonts w:ascii="Times New Roman" w:hAnsi="Times New Roman" w:cs="Times New Roman"/>
          <w:sz w:val="24"/>
          <w:szCs w:val="24"/>
          <w:lang w:val="sq-AL"/>
        </w:rPr>
        <w:t xml:space="preserve">ve </w:t>
      </w:r>
      <w:r w:rsidRPr="004C31B6">
        <w:rPr>
          <w:rFonts w:ascii="Times New Roman" w:hAnsi="Times New Roman" w:cs="Times New Roman"/>
          <w:sz w:val="24"/>
          <w:szCs w:val="24"/>
          <w:lang w:val="sq-AL"/>
        </w:rPr>
        <w:t>(</w:t>
      </w:r>
      <w:r w:rsidR="007929AD">
        <w:rPr>
          <w:rFonts w:ascii="Times New Roman" w:hAnsi="Times New Roman" w:cs="Times New Roman"/>
          <w:sz w:val="24"/>
          <w:szCs w:val="24"/>
          <w:lang w:val="sq-AL"/>
        </w:rPr>
        <w:t xml:space="preserve">gjatë </w:t>
      </w:r>
      <w:r w:rsidRPr="004C31B6">
        <w:rPr>
          <w:rFonts w:ascii="Times New Roman" w:hAnsi="Times New Roman" w:cs="Times New Roman"/>
          <w:sz w:val="24"/>
          <w:szCs w:val="24"/>
          <w:lang w:val="sq-AL"/>
        </w:rPr>
        <w:t>zbatimi</w:t>
      </w:r>
      <w:r w:rsidR="007929AD">
        <w:rPr>
          <w:rFonts w:ascii="Times New Roman" w:hAnsi="Times New Roman" w:cs="Times New Roman"/>
          <w:sz w:val="24"/>
          <w:szCs w:val="24"/>
          <w:lang w:val="sq-AL"/>
        </w:rPr>
        <w:t>t të</w:t>
      </w:r>
      <w:r w:rsidRPr="004C31B6">
        <w:rPr>
          <w:rFonts w:ascii="Times New Roman" w:hAnsi="Times New Roman" w:cs="Times New Roman"/>
          <w:sz w:val="24"/>
          <w:szCs w:val="24"/>
          <w:lang w:val="sq-AL"/>
        </w:rPr>
        <w:t xml:space="preserve"> projektit); </w:t>
      </w:r>
    </w:p>
    <w:p w14:paraId="7CF4801A" w14:textId="7687FE8C" w:rsidR="004C31B6" w:rsidRPr="004C31B6" w:rsidRDefault="007929AD" w:rsidP="004C31B6">
      <w:pPr>
        <w:pStyle w:val="ListParagraph"/>
        <w:tabs>
          <w:tab w:val="left" w:pos="942"/>
        </w:tabs>
        <w:spacing w:before="120" w:after="120"/>
        <w:ind w:left="361" w:firstLine="0"/>
        <w:rPr>
          <w:rFonts w:ascii="Times New Roman" w:hAnsi="Times New Roman" w:cs="Times New Roman"/>
          <w:sz w:val="24"/>
          <w:szCs w:val="24"/>
          <w:lang w:val="sq-AL"/>
        </w:rPr>
      </w:pPr>
      <w:r>
        <w:rPr>
          <w:rFonts w:ascii="Times New Roman" w:hAnsi="Times New Roman" w:cs="Times New Roman"/>
          <w:sz w:val="24"/>
          <w:szCs w:val="24"/>
          <w:lang w:val="sq-AL"/>
        </w:rPr>
        <w:t>k</w:t>
      </w:r>
      <w:r w:rsidR="004C31B6" w:rsidRPr="004C31B6">
        <w:rPr>
          <w:rFonts w:ascii="Times New Roman" w:hAnsi="Times New Roman" w:cs="Times New Roman"/>
          <w:sz w:val="24"/>
          <w:szCs w:val="24"/>
          <w:lang w:val="sq-AL"/>
        </w:rPr>
        <w:t xml:space="preserve">. Siguria, stabiliteti, qeverisja e mirë, mjedisi, barazia gjinore, integrimi evropian, etj.  </w:t>
      </w:r>
    </w:p>
    <w:p w14:paraId="4AE35C0E" w14:textId="3DDCE83D" w:rsidR="004C31B6" w:rsidRPr="004C31B6" w:rsidRDefault="004C31B6" w:rsidP="004C31B6">
      <w:pPr>
        <w:tabs>
          <w:tab w:val="left" w:pos="942"/>
        </w:tabs>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b) Njohuri dhe kuptimi i mirë i kërkesave të donatorëve, standardeve ndërkombëtare dhe praktikave më të mira për ngritjen e kapaciteteve të OShC-ve do të konsiderohe</w:t>
      </w:r>
      <w:r w:rsidR="007929AD">
        <w:rPr>
          <w:rFonts w:ascii="Times New Roman" w:hAnsi="Times New Roman" w:cs="Times New Roman"/>
          <w:sz w:val="24"/>
          <w:szCs w:val="24"/>
          <w:lang w:val="sq-AL"/>
        </w:rPr>
        <w:t>n</w:t>
      </w:r>
      <w:r w:rsidRPr="004C31B6">
        <w:rPr>
          <w:rFonts w:ascii="Times New Roman" w:hAnsi="Times New Roman" w:cs="Times New Roman"/>
          <w:sz w:val="24"/>
          <w:szCs w:val="24"/>
          <w:lang w:val="sq-AL"/>
        </w:rPr>
        <w:t xml:space="preserve"> si avantazh;</w:t>
      </w:r>
    </w:p>
    <w:p w14:paraId="0F4F739C" w14:textId="77777777" w:rsidR="004C31B6" w:rsidRPr="004C31B6" w:rsidRDefault="004C31B6" w:rsidP="004C31B6">
      <w:pPr>
        <w:tabs>
          <w:tab w:val="left" w:pos="942"/>
        </w:tabs>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c) Përvoja e mëparshme në ofrimin e trajnimeve dhe mentorimit me fokus në zhvillimin e OSHC-ve; </w:t>
      </w:r>
    </w:p>
    <w:p w14:paraId="7612D813" w14:textId="77777777" w:rsidR="004C31B6" w:rsidRPr="004C31B6" w:rsidRDefault="004C31B6" w:rsidP="004C31B6">
      <w:pPr>
        <w:tabs>
          <w:tab w:val="left" w:pos="942"/>
        </w:tabs>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d) Njohuri të mira të gjuhës angleze në të shkruar dhe të folur dhe të paktën një nga gjuhët lokale të vendeve përfituese do të konsiderohet avantazh; </w:t>
      </w:r>
    </w:p>
    <w:p w14:paraId="4BF837C7" w14:textId="77777777" w:rsidR="004C31B6" w:rsidRPr="004C31B6" w:rsidRDefault="004C31B6" w:rsidP="004C31B6">
      <w:pPr>
        <w:tabs>
          <w:tab w:val="left" w:pos="942"/>
        </w:tabs>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e) Aftësi të shkëlqyera analitike dhe raportuese; </w:t>
      </w:r>
    </w:p>
    <w:p w14:paraId="0C80B645" w14:textId="77777777" w:rsidR="004C31B6" w:rsidRPr="004C31B6" w:rsidRDefault="004C31B6" w:rsidP="004C31B6">
      <w:pPr>
        <w:tabs>
          <w:tab w:val="left" w:pos="942"/>
        </w:tabs>
        <w:spacing w:before="120" w:after="120"/>
        <w:jc w:val="both"/>
        <w:rPr>
          <w:rFonts w:ascii="Times New Roman" w:hAnsi="Times New Roman" w:cs="Times New Roman"/>
          <w:sz w:val="24"/>
          <w:szCs w:val="24"/>
        </w:rPr>
      </w:pPr>
      <w:r w:rsidRPr="004C31B6">
        <w:rPr>
          <w:rFonts w:ascii="Times New Roman" w:hAnsi="Times New Roman" w:cs="Times New Roman"/>
          <w:sz w:val="24"/>
          <w:szCs w:val="24"/>
          <w:lang w:val="sq-AL"/>
        </w:rPr>
        <w:t>f) Aftësi të mira për zgjidhjen e problemeve;</w:t>
      </w:r>
    </w:p>
    <w:p w14:paraId="40DD3AE6" w14:textId="77777777" w:rsidR="004C31B6" w:rsidRP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Aplikimet për të qenë pjesë e Listës Kombëtare të Mentorëve janë të hapura për të gjithë personat nga të 6 vendet përfituese. </w:t>
      </w:r>
    </w:p>
    <w:p w14:paraId="02296E7D" w14:textId="5EC63045" w:rsidR="004C31B6" w:rsidRDefault="004C31B6" w:rsidP="004C31B6">
      <w:pPr>
        <w:spacing w:before="120" w:after="120"/>
        <w:jc w:val="both"/>
        <w:rPr>
          <w:rFonts w:ascii="Times New Roman" w:hAnsi="Times New Roman" w:cs="Times New Roman"/>
          <w:sz w:val="24"/>
          <w:szCs w:val="24"/>
          <w:lang w:val="sq-AL"/>
        </w:rPr>
      </w:pPr>
      <w:r w:rsidRPr="004C31B6">
        <w:rPr>
          <w:rFonts w:ascii="Times New Roman" w:hAnsi="Times New Roman" w:cs="Times New Roman"/>
          <w:sz w:val="24"/>
          <w:szCs w:val="24"/>
          <w:lang w:val="sq-AL"/>
        </w:rPr>
        <w:t xml:space="preserve">Personat juridikë dhe individët që shfaqen në listën e konsoliduar të BE-së të personave, grupeve dhe subjekteve që i nënshtrohen sanksioneve financiare të BE-së (www.sanctionmaps.eu), Zyra e Kontrollit të Pasurive të Huaja ("OFAC") e Departamentit të Thesarit të SHBA https: //sanctionssearch.ofac.treas.gov/ dhe Lista e Sanksioneve të MB </w:t>
      </w:r>
      <w:r w:rsidR="00470A05">
        <w:rPr>
          <w:rFonts w:ascii="Times New Roman" w:hAnsi="Times New Roman" w:cs="Times New Roman"/>
          <w:sz w:val="24"/>
          <w:szCs w:val="24"/>
          <w:lang w:val="sq-AL"/>
        </w:rPr>
        <w:fldChar w:fldCharType="begin"/>
      </w:r>
      <w:r w:rsidR="00470A05">
        <w:rPr>
          <w:rFonts w:ascii="Times New Roman" w:hAnsi="Times New Roman" w:cs="Times New Roman"/>
          <w:sz w:val="24"/>
          <w:szCs w:val="24"/>
          <w:lang w:val="sq-AL"/>
        </w:rPr>
        <w:instrText xml:space="preserve"> HYPERLINK "</w:instrText>
      </w:r>
      <w:r w:rsidR="00470A05" w:rsidRPr="004C31B6">
        <w:rPr>
          <w:rFonts w:ascii="Times New Roman" w:hAnsi="Times New Roman" w:cs="Times New Roman"/>
          <w:sz w:val="24"/>
          <w:szCs w:val="24"/>
          <w:lang w:val="sq-AL"/>
        </w:rPr>
        <w:instrText>https://docs.fcdo.gov.uk/docs/UK-Sanctions-List.html</w:instrText>
      </w:r>
      <w:r w:rsidR="00470A05">
        <w:rPr>
          <w:rFonts w:ascii="Times New Roman" w:hAnsi="Times New Roman" w:cs="Times New Roman"/>
          <w:sz w:val="24"/>
          <w:szCs w:val="24"/>
          <w:lang w:val="sq-AL"/>
        </w:rPr>
        <w:instrText xml:space="preserve">" </w:instrText>
      </w:r>
      <w:r w:rsidR="00470A05">
        <w:rPr>
          <w:rFonts w:ascii="Times New Roman" w:hAnsi="Times New Roman" w:cs="Times New Roman"/>
          <w:sz w:val="24"/>
          <w:szCs w:val="24"/>
          <w:lang w:val="sq-AL"/>
        </w:rPr>
      </w:r>
      <w:r w:rsidR="00470A05">
        <w:rPr>
          <w:rFonts w:ascii="Times New Roman" w:hAnsi="Times New Roman" w:cs="Times New Roman"/>
          <w:sz w:val="24"/>
          <w:szCs w:val="24"/>
          <w:lang w:val="sq-AL"/>
        </w:rPr>
        <w:fldChar w:fldCharType="separate"/>
      </w:r>
      <w:r w:rsidR="00470A05" w:rsidRPr="00E105B6">
        <w:rPr>
          <w:rStyle w:val="Hyperlink"/>
          <w:rFonts w:ascii="Times New Roman" w:hAnsi="Times New Roman" w:cs="Times New Roman"/>
          <w:sz w:val="24"/>
          <w:szCs w:val="24"/>
          <w:lang w:val="sq-AL"/>
        </w:rPr>
        <w:t>https://docs.fcdo.gov.uk/docs/UK-Sanctions-List.html</w:t>
      </w:r>
      <w:r w:rsidR="00470A05">
        <w:rPr>
          <w:rFonts w:ascii="Times New Roman" w:hAnsi="Times New Roman" w:cs="Times New Roman"/>
          <w:sz w:val="24"/>
          <w:szCs w:val="24"/>
          <w:lang w:val="sq-AL"/>
        </w:rPr>
        <w:fldChar w:fldCharType="end"/>
      </w:r>
      <w:r w:rsidR="00470A05">
        <w:rPr>
          <w:rFonts w:ascii="Times New Roman" w:hAnsi="Times New Roman" w:cs="Times New Roman"/>
          <w:sz w:val="24"/>
          <w:szCs w:val="24"/>
          <w:lang w:val="sq-AL"/>
        </w:rPr>
        <w:t xml:space="preserve"> </w:t>
      </w:r>
      <w:r w:rsidRPr="004C31B6">
        <w:rPr>
          <w:rFonts w:ascii="Times New Roman" w:hAnsi="Times New Roman" w:cs="Times New Roman"/>
          <w:sz w:val="24"/>
          <w:szCs w:val="24"/>
          <w:lang w:val="sq-AL"/>
        </w:rPr>
        <w:t>nuk kanë të drejtë të aplikojnë në këtë thirrje.</w:t>
      </w:r>
    </w:p>
    <w:p w14:paraId="7436A52C" w14:textId="77777777" w:rsidR="007929AD" w:rsidRPr="004C31B6" w:rsidRDefault="007929AD" w:rsidP="004C31B6">
      <w:pPr>
        <w:spacing w:before="120" w:after="120"/>
        <w:jc w:val="both"/>
        <w:rPr>
          <w:rFonts w:ascii="Times New Roman" w:hAnsi="Times New Roman" w:cs="Times New Roman"/>
          <w:sz w:val="24"/>
          <w:szCs w:val="24"/>
        </w:rPr>
      </w:pPr>
    </w:p>
    <w:p w14:paraId="0A80583A"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rPr>
      </w:pPr>
      <w:r w:rsidRPr="00BA6193">
        <w:rPr>
          <w:rFonts w:ascii="Times New Roman" w:hAnsi="Times New Roman" w:cs="Times New Roman"/>
          <w:b/>
          <w:sz w:val="24"/>
          <w:szCs w:val="24"/>
        </w:rPr>
        <w:lastRenderedPageBreak/>
        <w:t>MBROJTJA E TË DHËNAVE</w:t>
      </w:r>
    </w:p>
    <w:p w14:paraId="78C55FFE" w14:textId="2A20DA3E" w:rsidR="004C31B6" w:rsidRDefault="004C31B6" w:rsidP="004C31B6">
      <w:pPr>
        <w:pStyle w:val="BodyText"/>
        <w:spacing w:before="120" w:after="120"/>
        <w:jc w:val="both"/>
        <w:rPr>
          <w:rFonts w:ascii="Times New Roman" w:eastAsia="Times New Roman" w:hAnsi="Times New Roman" w:cs="Times New Roman"/>
          <w:color w:val="262626"/>
          <w:bdr w:val="nil"/>
          <w:lang w:val="sq-AL"/>
        </w:rPr>
      </w:pPr>
      <w:r w:rsidRPr="004C31B6">
        <w:rPr>
          <w:rFonts w:ascii="Times New Roman" w:eastAsia="Times New Roman" w:hAnsi="Times New Roman" w:cs="Times New Roman"/>
          <w:color w:val="262626"/>
          <w:bdr w:val="nil"/>
          <w:lang w:val="sq-AL"/>
        </w:rPr>
        <w:t>Të dhënat personale të cilat janë dorëzuar me qëllim aplikimin në këtë thirrje (emrat, adresat e emailit, etj.) do të ruhen nga partnerët e konsorciumit të projektit me qëllim të përpunimit të aplikimeve dhe për t'i kontraktuar ata për detyrat e mundshme që lidhen me kërkesat dhe nevojat specifike të OSHC-ve. Të dhënat personale do të ruhen me kujdesin maksimal dhe në përputhje me parimet e mbrojtjes së të dhënave</w:t>
      </w:r>
      <w:r w:rsidR="007929AD">
        <w:rPr>
          <w:rFonts w:ascii="Times New Roman" w:eastAsia="Times New Roman" w:hAnsi="Times New Roman" w:cs="Times New Roman"/>
          <w:color w:val="262626"/>
          <w:bdr w:val="nil"/>
          <w:lang w:val="sq-AL"/>
        </w:rPr>
        <w:t xml:space="preserve"> personale</w:t>
      </w:r>
      <w:r w:rsidRPr="004C31B6">
        <w:rPr>
          <w:rFonts w:ascii="Times New Roman" w:eastAsia="Times New Roman" w:hAnsi="Times New Roman" w:cs="Times New Roman"/>
          <w:color w:val="262626"/>
          <w:bdr w:val="nil"/>
          <w:lang w:val="sq-AL"/>
        </w:rPr>
        <w:t>. Aplikuesit mund të kërkojnë në çdo kohë të shohin të dhënat e tyre personale që mbahen nga IDM dhe të kërkojnë fshirjen e tyre.</w:t>
      </w:r>
    </w:p>
    <w:p w14:paraId="49613B9D" w14:textId="77777777" w:rsidR="007929AD" w:rsidRPr="004C31B6" w:rsidRDefault="007929AD" w:rsidP="004C31B6">
      <w:pPr>
        <w:pStyle w:val="BodyText"/>
        <w:spacing w:before="120" w:after="120"/>
        <w:jc w:val="both"/>
        <w:rPr>
          <w:rFonts w:ascii="Times New Roman" w:hAnsi="Times New Roman" w:cs="Times New Roman"/>
        </w:rPr>
      </w:pPr>
    </w:p>
    <w:p w14:paraId="47008993"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rPr>
      </w:pPr>
      <w:r w:rsidRPr="00BA6193">
        <w:rPr>
          <w:rFonts w:ascii="Times New Roman" w:hAnsi="Times New Roman" w:cs="Times New Roman"/>
          <w:b/>
          <w:sz w:val="24"/>
          <w:szCs w:val="24"/>
        </w:rPr>
        <w:t>MJETET DHE MBËSHTETJA E KËRKUAR</w:t>
      </w:r>
    </w:p>
    <w:p w14:paraId="7AAAB61F" w14:textId="77777777" w:rsidR="004C31B6" w:rsidRPr="004C31B6" w:rsidRDefault="004C31B6" w:rsidP="004C31B6">
      <w:pPr>
        <w:pStyle w:val="BodyText"/>
        <w:spacing w:before="120" w:after="120"/>
        <w:ind w:right="110"/>
        <w:jc w:val="both"/>
        <w:rPr>
          <w:rFonts w:ascii="Times New Roman" w:hAnsi="Times New Roman" w:cs="Times New Roman"/>
          <w:lang w:val="sq-AL"/>
        </w:rPr>
      </w:pPr>
      <w:r w:rsidRPr="004C31B6">
        <w:rPr>
          <w:rFonts w:ascii="Times New Roman" w:hAnsi="Times New Roman" w:cs="Times New Roman"/>
          <w:lang w:val="sq-AL"/>
        </w:rPr>
        <w:t>Organizata kontraktuese do të sigurojë që ekspertët të mbështeten në mënyrën e duhur nga ana administrative dhe që të kenë akses në informacionin përkatës dhe dokumentet e aplikimit, për t'u mundësuar mentorëve të kryejnë detyrat e tyre. Dispozita e kërkuar për përkthim (nëse raportet e vlerësimit do të bëhen në anglisht ose në gjuhë të tjera zyrtare në vendet e SMART Balkans), si dhe mbështetja teknike me pajisje (kompjuter, printer, internet) që kërkohen për angazhimin e vlerësimit janë përgjegjësi e mentorit të angazhuar.</w:t>
      </w:r>
    </w:p>
    <w:p w14:paraId="0219CEC8" w14:textId="77777777" w:rsidR="004C31B6" w:rsidRPr="004C31B6" w:rsidRDefault="004C31B6" w:rsidP="004C31B6">
      <w:pPr>
        <w:pStyle w:val="BodyText"/>
        <w:spacing w:before="120" w:after="120"/>
        <w:ind w:right="110"/>
        <w:jc w:val="both"/>
        <w:rPr>
          <w:rFonts w:ascii="Times New Roman" w:hAnsi="Times New Roman" w:cs="Times New Roman"/>
        </w:rPr>
      </w:pPr>
    </w:p>
    <w:p w14:paraId="331E8A86" w14:textId="77777777" w:rsidR="004C31B6" w:rsidRPr="00BA6193" w:rsidRDefault="004C31B6" w:rsidP="00BA6193">
      <w:pPr>
        <w:pStyle w:val="ListParagraph"/>
        <w:numPr>
          <w:ilvl w:val="0"/>
          <w:numId w:val="7"/>
        </w:numPr>
        <w:spacing w:before="120" w:after="120"/>
        <w:rPr>
          <w:rFonts w:ascii="Times New Roman" w:hAnsi="Times New Roman" w:cs="Times New Roman"/>
          <w:b/>
          <w:sz w:val="24"/>
          <w:szCs w:val="24"/>
          <w:lang w:val="sq-AL"/>
        </w:rPr>
      </w:pPr>
      <w:r w:rsidRPr="00BA6193">
        <w:rPr>
          <w:rFonts w:ascii="Times New Roman" w:hAnsi="Times New Roman" w:cs="Times New Roman"/>
          <w:b/>
          <w:sz w:val="24"/>
          <w:szCs w:val="24"/>
        </w:rPr>
        <w:t>TARIFAT DHE PAGESA</w:t>
      </w:r>
      <w:r w:rsidRPr="00BA6193">
        <w:rPr>
          <w:rFonts w:ascii="Times New Roman" w:eastAsia="Times New Roman" w:hAnsi="Times New Roman" w:cs="Times New Roman"/>
          <w:b/>
          <w:sz w:val="24"/>
          <w:szCs w:val="24"/>
          <w:lang w:val="sq-AL"/>
        </w:rPr>
        <w:t xml:space="preserve"> </w:t>
      </w:r>
    </w:p>
    <w:p w14:paraId="7A4BE545" w14:textId="48524A5F" w:rsidR="004C31B6" w:rsidRDefault="004C31B6" w:rsidP="004C31B6">
      <w:pPr>
        <w:spacing w:before="120" w:after="120"/>
        <w:jc w:val="both"/>
        <w:rPr>
          <w:rFonts w:ascii="Times New Roman" w:eastAsia="Calibri Light" w:hAnsi="Times New Roman" w:cs="Times New Roman"/>
          <w:sz w:val="24"/>
          <w:szCs w:val="24"/>
          <w:bdr w:val="none" w:sz="0" w:space="0" w:color="auto"/>
        </w:rPr>
      </w:pPr>
      <w:r w:rsidRPr="004C31B6">
        <w:rPr>
          <w:rFonts w:ascii="Times New Roman" w:eastAsia="Calibri Light" w:hAnsi="Times New Roman" w:cs="Times New Roman"/>
          <w:sz w:val="24"/>
          <w:szCs w:val="24"/>
          <w:bdr w:val="none" w:sz="0" w:space="0" w:color="auto"/>
          <w:lang w:val="sq-AL"/>
        </w:rPr>
        <w:t>Mentorët kombëtarë do të paguhen sipas numrit të orëve që ai/ajo ka qenë</w:t>
      </w:r>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i</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angazhuar</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Një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orë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ekspertiz</w:t>
      </w:r>
      <w:r w:rsidR="006E085F">
        <w:rPr>
          <w:rFonts w:ascii="Times New Roman" w:eastAsia="Calibri Light" w:hAnsi="Times New Roman" w:cs="Times New Roman"/>
          <w:sz w:val="24"/>
          <w:szCs w:val="24"/>
          <w:bdr w:val="none" w:sz="0" w:space="0" w:color="auto"/>
        </w:rPr>
        <w:t>ë</w:t>
      </w:r>
      <w:proofErr w:type="spellEnd"/>
      <w:r w:rsidRPr="004C31B6">
        <w:rPr>
          <w:rFonts w:ascii="Times New Roman" w:eastAsia="Calibri Light" w:hAnsi="Times New Roman" w:cs="Times New Roman"/>
          <w:sz w:val="24"/>
          <w:szCs w:val="24"/>
          <w:bdr w:val="none" w:sz="0" w:space="0" w:color="auto"/>
        </w:rPr>
        <w:t xml:space="preserve"> do </w:t>
      </w:r>
      <w:proofErr w:type="spellStart"/>
      <w:r w:rsidRPr="004C31B6">
        <w:rPr>
          <w:rFonts w:ascii="Times New Roman" w:eastAsia="Calibri Light" w:hAnsi="Times New Roman" w:cs="Times New Roman"/>
          <w:sz w:val="24"/>
          <w:szCs w:val="24"/>
          <w:bdr w:val="none" w:sz="0" w:space="0" w:color="auto"/>
        </w:rPr>
        <w:t>të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paguhet</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sipas</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kategorive</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të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shërbimeve</w:t>
      </w:r>
      <w:proofErr w:type="spellEnd"/>
      <w:r w:rsidR="007929AD">
        <w:rPr>
          <w:rFonts w:ascii="Times New Roman" w:eastAsia="Calibri Light" w:hAnsi="Times New Roman" w:cs="Times New Roman"/>
          <w:sz w:val="24"/>
          <w:szCs w:val="24"/>
          <w:bdr w:val="none" w:sz="0" w:space="0" w:color="auto"/>
        </w:rPr>
        <w:t xml:space="preserve"> </w:t>
      </w:r>
      <w:proofErr w:type="spellStart"/>
      <w:r w:rsidR="007929AD">
        <w:rPr>
          <w:rFonts w:ascii="Times New Roman" w:eastAsia="Calibri Light" w:hAnsi="Times New Roman" w:cs="Times New Roman"/>
          <w:sz w:val="24"/>
          <w:szCs w:val="24"/>
          <w:bdr w:val="none" w:sz="0" w:space="0" w:color="auto"/>
        </w:rPr>
        <w:t>që</w:t>
      </w:r>
      <w:proofErr w:type="spellEnd"/>
      <w:r w:rsidR="007929AD">
        <w:rPr>
          <w:rFonts w:ascii="Times New Roman" w:eastAsia="Calibri Light" w:hAnsi="Times New Roman" w:cs="Times New Roman"/>
          <w:sz w:val="24"/>
          <w:szCs w:val="24"/>
          <w:bdr w:val="none" w:sz="0" w:space="0" w:color="auto"/>
        </w:rPr>
        <w:t xml:space="preserve"> </w:t>
      </w:r>
      <w:proofErr w:type="spellStart"/>
      <w:r w:rsidR="007929AD">
        <w:rPr>
          <w:rFonts w:ascii="Times New Roman" w:eastAsia="Calibri Light" w:hAnsi="Times New Roman" w:cs="Times New Roman"/>
          <w:sz w:val="24"/>
          <w:szCs w:val="24"/>
          <w:bdr w:val="none" w:sz="0" w:space="0" w:color="auto"/>
        </w:rPr>
        <w:t>ofron</w:t>
      </w:r>
      <w:proofErr w:type="spellEnd"/>
      <w:r w:rsidRPr="004C31B6">
        <w:rPr>
          <w:rFonts w:ascii="Times New Roman" w:eastAsia="Calibri Light" w:hAnsi="Times New Roman" w:cs="Times New Roman"/>
          <w:sz w:val="24"/>
          <w:szCs w:val="24"/>
          <w:bdr w:val="none" w:sz="0" w:space="0" w:color="auto"/>
        </w:rPr>
        <w:t xml:space="preserve"> SMART Balkans. </w:t>
      </w:r>
      <w:proofErr w:type="spellStart"/>
      <w:r w:rsidRPr="004C31B6">
        <w:rPr>
          <w:rFonts w:ascii="Times New Roman" w:eastAsia="Calibri Light" w:hAnsi="Times New Roman" w:cs="Times New Roman"/>
          <w:sz w:val="24"/>
          <w:szCs w:val="24"/>
          <w:bdr w:val="none" w:sz="0" w:space="0" w:color="auto"/>
        </w:rPr>
        <w:t>Numri</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i</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orëve</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të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punës</w:t>
      </w:r>
      <w:proofErr w:type="spellEnd"/>
      <w:r w:rsidRPr="004C31B6">
        <w:rPr>
          <w:rFonts w:ascii="Times New Roman" w:eastAsia="Calibri Light" w:hAnsi="Times New Roman" w:cs="Times New Roman"/>
          <w:sz w:val="24"/>
          <w:szCs w:val="24"/>
          <w:bdr w:val="none" w:sz="0" w:space="0" w:color="auto"/>
        </w:rPr>
        <w:t xml:space="preserve"> do </w:t>
      </w:r>
      <w:proofErr w:type="spellStart"/>
      <w:r w:rsidRPr="004C31B6">
        <w:rPr>
          <w:rFonts w:ascii="Times New Roman" w:eastAsia="Calibri Light" w:hAnsi="Times New Roman" w:cs="Times New Roman"/>
          <w:sz w:val="24"/>
          <w:szCs w:val="24"/>
          <w:bdr w:val="none" w:sz="0" w:space="0" w:color="auto"/>
        </w:rPr>
        <w:t>të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kontrollohet</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nga</w:t>
      </w:r>
      <w:proofErr w:type="spellEnd"/>
      <w:r w:rsidR="007929AD">
        <w:rPr>
          <w:rFonts w:ascii="Times New Roman" w:eastAsia="Calibri Light" w:hAnsi="Times New Roman" w:cs="Times New Roman"/>
          <w:sz w:val="24"/>
          <w:szCs w:val="24"/>
          <w:bdr w:val="none" w:sz="0" w:space="0" w:color="auto"/>
        </w:rPr>
        <w:t xml:space="preserve"> </w:t>
      </w:r>
      <w:proofErr w:type="spellStart"/>
      <w:r w:rsidR="007929AD">
        <w:rPr>
          <w:rFonts w:ascii="Times New Roman" w:eastAsia="Calibri Light" w:hAnsi="Times New Roman" w:cs="Times New Roman"/>
          <w:sz w:val="24"/>
          <w:szCs w:val="24"/>
          <w:bdr w:val="none" w:sz="0" w:space="0" w:color="auto"/>
        </w:rPr>
        <w:t>Oficeri</w:t>
      </w:r>
      <w:proofErr w:type="spellEnd"/>
      <w:r w:rsidR="007929AD">
        <w:rPr>
          <w:rFonts w:ascii="Times New Roman" w:eastAsia="Calibri Light" w:hAnsi="Times New Roman" w:cs="Times New Roman"/>
          <w:sz w:val="24"/>
          <w:szCs w:val="24"/>
          <w:bdr w:val="none" w:sz="0" w:space="0" w:color="auto"/>
        </w:rPr>
        <w:t xml:space="preserve"> </w:t>
      </w:r>
      <w:proofErr w:type="spellStart"/>
      <w:r w:rsidR="007929AD">
        <w:rPr>
          <w:rFonts w:ascii="Times New Roman" w:eastAsia="Calibri Light" w:hAnsi="Times New Roman" w:cs="Times New Roman"/>
          <w:sz w:val="24"/>
          <w:szCs w:val="24"/>
          <w:bdr w:val="none" w:sz="0" w:space="0" w:color="auto"/>
        </w:rPr>
        <w:t>i</w:t>
      </w:r>
      <w:proofErr w:type="spellEnd"/>
      <w:r w:rsidR="007929AD">
        <w:rPr>
          <w:rFonts w:ascii="Times New Roman" w:eastAsia="Calibri Light" w:hAnsi="Times New Roman" w:cs="Times New Roman"/>
          <w:sz w:val="24"/>
          <w:szCs w:val="24"/>
          <w:bdr w:val="none" w:sz="0" w:space="0" w:color="auto"/>
        </w:rPr>
        <w:t xml:space="preserve"> </w:t>
      </w:r>
      <w:proofErr w:type="spellStart"/>
      <w:r w:rsidR="007929AD">
        <w:rPr>
          <w:rFonts w:ascii="Times New Roman" w:eastAsia="Calibri Light" w:hAnsi="Times New Roman" w:cs="Times New Roman"/>
          <w:sz w:val="24"/>
          <w:szCs w:val="24"/>
          <w:bdr w:val="none" w:sz="0" w:space="0" w:color="auto"/>
        </w:rPr>
        <w:t>Gr</w:t>
      </w:r>
      <w:r w:rsidR="006E085F">
        <w:rPr>
          <w:rFonts w:ascii="Times New Roman" w:eastAsia="Calibri Light" w:hAnsi="Times New Roman" w:cs="Times New Roman"/>
          <w:sz w:val="24"/>
          <w:szCs w:val="24"/>
          <w:bdr w:val="none" w:sz="0" w:space="0" w:color="auto"/>
        </w:rPr>
        <w:t>a</w:t>
      </w:r>
      <w:r w:rsidR="007929AD">
        <w:rPr>
          <w:rFonts w:ascii="Times New Roman" w:eastAsia="Calibri Light" w:hAnsi="Times New Roman" w:cs="Times New Roman"/>
          <w:sz w:val="24"/>
          <w:szCs w:val="24"/>
          <w:bdr w:val="none" w:sz="0" w:space="0" w:color="auto"/>
        </w:rPr>
        <w:t>nteve</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bazuar</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në</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raportin</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dhe</w:t>
      </w:r>
      <w:proofErr w:type="spellEnd"/>
      <w:r w:rsidRPr="004C31B6">
        <w:rPr>
          <w:rFonts w:ascii="Times New Roman" w:eastAsia="Calibri Light" w:hAnsi="Times New Roman" w:cs="Times New Roman"/>
          <w:sz w:val="24"/>
          <w:szCs w:val="24"/>
          <w:bdr w:val="none" w:sz="0" w:space="0" w:color="auto"/>
        </w:rPr>
        <w:t xml:space="preserve"> </w:t>
      </w:r>
      <w:proofErr w:type="spellStart"/>
      <w:r w:rsidRPr="004C31B6">
        <w:rPr>
          <w:rFonts w:ascii="Times New Roman" w:eastAsia="Calibri Light" w:hAnsi="Times New Roman" w:cs="Times New Roman"/>
          <w:sz w:val="24"/>
          <w:szCs w:val="24"/>
          <w:bdr w:val="none" w:sz="0" w:space="0" w:color="auto"/>
        </w:rPr>
        <w:t>komentet</w:t>
      </w:r>
      <w:proofErr w:type="spellEnd"/>
      <w:r w:rsidRPr="004C31B6">
        <w:rPr>
          <w:rFonts w:ascii="Times New Roman" w:eastAsia="Calibri Light" w:hAnsi="Times New Roman" w:cs="Times New Roman"/>
          <w:sz w:val="24"/>
          <w:szCs w:val="24"/>
          <w:bdr w:val="none" w:sz="0" w:space="0" w:color="auto"/>
        </w:rPr>
        <w:t xml:space="preserve"> e </w:t>
      </w:r>
      <w:proofErr w:type="spellStart"/>
      <w:r w:rsidRPr="004C31B6">
        <w:rPr>
          <w:rFonts w:ascii="Times New Roman" w:eastAsia="Calibri Light" w:hAnsi="Times New Roman" w:cs="Times New Roman"/>
          <w:sz w:val="24"/>
          <w:szCs w:val="24"/>
          <w:bdr w:val="none" w:sz="0" w:space="0" w:color="auto"/>
        </w:rPr>
        <w:t>OShC-ve</w:t>
      </w:r>
      <w:proofErr w:type="spellEnd"/>
      <w:r w:rsidRPr="004C31B6">
        <w:rPr>
          <w:rFonts w:ascii="Times New Roman" w:eastAsia="Calibri Light" w:hAnsi="Times New Roman" w:cs="Times New Roman"/>
          <w:sz w:val="24"/>
          <w:szCs w:val="24"/>
          <w:bdr w:val="none" w:sz="0" w:space="0" w:color="auto"/>
        </w:rPr>
        <w:t>.</w:t>
      </w:r>
      <w:r w:rsidR="007929AD">
        <w:rPr>
          <w:rFonts w:ascii="Times New Roman" w:eastAsia="Calibri Light" w:hAnsi="Times New Roman" w:cs="Times New Roman"/>
          <w:sz w:val="24"/>
          <w:szCs w:val="24"/>
          <w:bdr w:val="none" w:sz="0" w:space="0" w:color="auto"/>
        </w:rPr>
        <w:t xml:space="preserve"> </w:t>
      </w:r>
    </w:p>
    <w:p w14:paraId="17C0DC62" w14:textId="17FC01DF" w:rsidR="007929AD" w:rsidRPr="004C31B6" w:rsidRDefault="007929AD" w:rsidP="007929AD">
      <w:pPr>
        <w:spacing w:before="120" w:after="120"/>
        <w:rPr>
          <w:rFonts w:ascii="Times New Roman" w:eastAsia="Calibri Light" w:hAnsi="Times New Roman" w:cs="Times New Roman"/>
          <w:sz w:val="24"/>
          <w:szCs w:val="24"/>
          <w:bdr w:val="none" w:sz="0" w:space="0" w:color="auto"/>
          <w:lang w:val="sq-AL"/>
        </w:rPr>
      </w:pPr>
      <w:r w:rsidRPr="004C31B6">
        <w:rPr>
          <w:rFonts w:ascii="Times New Roman" w:eastAsia="Calibri Light" w:hAnsi="Times New Roman" w:cs="Times New Roman"/>
          <w:sz w:val="24"/>
          <w:szCs w:val="24"/>
          <w:bdr w:val="none" w:sz="0" w:space="0" w:color="auto"/>
          <w:lang w:val="sq-AL"/>
        </w:rPr>
        <w:t>Tarifa</w:t>
      </w:r>
      <w:r>
        <w:rPr>
          <w:rFonts w:ascii="Times New Roman" w:eastAsia="Calibri Light" w:hAnsi="Times New Roman" w:cs="Times New Roman"/>
          <w:sz w:val="24"/>
          <w:szCs w:val="24"/>
          <w:bdr w:val="none" w:sz="0" w:space="0" w:color="auto"/>
          <w:lang w:val="sq-AL"/>
        </w:rPr>
        <w:t xml:space="preserve"> bruto</w:t>
      </w:r>
      <w:r w:rsidRPr="004C31B6">
        <w:rPr>
          <w:rFonts w:ascii="Times New Roman" w:eastAsia="Calibri Light" w:hAnsi="Times New Roman" w:cs="Times New Roman"/>
          <w:sz w:val="24"/>
          <w:szCs w:val="24"/>
          <w:bdr w:val="none" w:sz="0" w:space="0" w:color="auto"/>
          <w:lang w:val="sq-AL"/>
        </w:rPr>
        <w:t xml:space="preserve"> për shërbimin është 20 euro/orë për mentorët e angazhuar për këto kategori: menaxhim organizativ, advokim dhe zhvillim dhe </w:t>
      </w:r>
      <w:r>
        <w:rPr>
          <w:rFonts w:ascii="Times New Roman" w:eastAsia="Calibri Light" w:hAnsi="Times New Roman" w:cs="Times New Roman"/>
          <w:sz w:val="24"/>
          <w:szCs w:val="24"/>
          <w:bdr w:val="none" w:sz="0" w:space="0" w:color="auto"/>
          <w:lang w:val="sq-AL"/>
        </w:rPr>
        <w:t xml:space="preserve">eksperizë në </w:t>
      </w:r>
      <w:r w:rsidRPr="004C31B6">
        <w:rPr>
          <w:rFonts w:ascii="Times New Roman" w:eastAsia="Calibri Light" w:hAnsi="Times New Roman" w:cs="Times New Roman"/>
          <w:sz w:val="24"/>
          <w:szCs w:val="24"/>
          <w:bdr w:val="none" w:sz="0" w:space="0" w:color="auto"/>
          <w:lang w:val="sq-AL"/>
        </w:rPr>
        <w:t>fusha tematike</w:t>
      </w:r>
      <w:r>
        <w:rPr>
          <w:rFonts w:ascii="Times New Roman" w:eastAsia="Calibri Light" w:hAnsi="Times New Roman" w:cs="Times New Roman"/>
          <w:sz w:val="24"/>
          <w:szCs w:val="24"/>
          <w:bdr w:val="none" w:sz="0" w:space="0" w:color="auto"/>
          <w:lang w:val="sq-AL"/>
        </w:rPr>
        <w:t xml:space="preserve"> të projektit dhe</w:t>
      </w:r>
      <w:r w:rsidRPr="004C31B6">
        <w:rPr>
          <w:rFonts w:ascii="Times New Roman" w:eastAsia="Calibri Light" w:hAnsi="Times New Roman" w:cs="Times New Roman"/>
          <w:sz w:val="24"/>
          <w:szCs w:val="24"/>
          <w:bdr w:val="none" w:sz="0" w:space="0" w:color="auto"/>
          <w:lang w:val="sq-AL"/>
        </w:rPr>
        <w:t xml:space="preserve"> 30,00 euro</w:t>
      </w:r>
      <w:r>
        <w:rPr>
          <w:rFonts w:ascii="Times New Roman" w:eastAsia="Calibri Light" w:hAnsi="Times New Roman" w:cs="Times New Roman"/>
          <w:sz w:val="24"/>
          <w:szCs w:val="24"/>
          <w:bdr w:val="none" w:sz="0" w:space="0" w:color="auto"/>
          <w:lang w:val="sq-AL"/>
        </w:rPr>
        <w:t xml:space="preserve">/orë </w:t>
      </w:r>
      <w:r w:rsidRPr="004C31B6">
        <w:rPr>
          <w:rFonts w:ascii="Times New Roman" w:eastAsia="Calibri Light" w:hAnsi="Times New Roman" w:cs="Times New Roman"/>
          <w:sz w:val="24"/>
          <w:szCs w:val="24"/>
          <w:bdr w:val="none" w:sz="0" w:space="0" w:color="auto"/>
          <w:lang w:val="sq-AL"/>
        </w:rPr>
        <w:t>për mentorët e angazhuar në kuadrin financiar dhe ligjor.</w:t>
      </w:r>
    </w:p>
    <w:p w14:paraId="2ECE15BB" w14:textId="77777777" w:rsidR="007929AD" w:rsidRDefault="007929AD" w:rsidP="004C31B6">
      <w:pPr>
        <w:spacing w:before="120" w:after="120"/>
        <w:jc w:val="both"/>
        <w:rPr>
          <w:rFonts w:ascii="Times New Roman" w:eastAsia="Calibri Light" w:hAnsi="Times New Roman" w:cs="Times New Roman"/>
          <w:sz w:val="24"/>
          <w:szCs w:val="24"/>
          <w:bdr w:val="none" w:sz="0" w:space="0" w:color="auto"/>
        </w:rPr>
      </w:pPr>
    </w:p>
    <w:p w14:paraId="3F203F36" w14:textId="77777777" w:rsidR="00F25921" w:rsidRPr="004C31B6" w:rsidRDefault="00F25921" w:rsidP="0013249A">
      <w:pPr>
        <w:jc w:val="both"/>
        <w:rPr>
          <w:rFonts w:ascii="Times New Roman" w:hAnsi="Times New Roman" w:cs="Times New Roman"/>
          <w:sz w:val="24"/>
          <w:szCs w:val="24"/>
        </w:rPr>
      </w:pPr>
    </w:p>
    <w:sectPr w:rsidR="00F25921" w:rsidRPr="004C31B6" w:rsidSect="004C31B6">
      <w:headerReference w:type="default" r:id="rId13"/>
      <w:footerReference w:type="default" r:id="rId14"/>
      <w:pgSz w:w="11900" w:h="16840"/>
      <w:pgMar w:top="3118" w:right="1440" w:bottom="1984" w:left="1440" w:header="576"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4D3B" w14:textId="77777777" w:rsidR="00403485" w:rsidRDefault="00403485">
      <w:r>
        <w:separator/>
      </w:r>
    </w:p>
  </w:endnote>
  <w:endnote w:type="continuationSeparator" w:id="0">
    <w:p w14:paraId="7208F1F3" w14:textId="77777777" w:rsidR="00403485" w:rsidRDefault="0040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FE32" w14:textId="77777777" w:rsidR="004C31B6" w:rsidRDefault="004C31B6" w:rsidP="007C791E">
    <w:pPr>
      <w:pStyle w:val="Footer"/>
      <w:tabs>
        <w:tab w:val="clear" w:pos="9026"/>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660354" w:rsidRDefault="00660354">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CD97" w14:textId="77777777" w:rsidR="00403485" w:rsidRDefault="00403485">
      <w:r>
        <w:separator/>
      </w:r>
    </w:p>
  </w:footnote>
  <w:footnote w:type="continuationSeparator" w:id="0">
    <w:p w14:paraId="341F1A4A" w14:textId="77777777" w:rsidR="00403485" w:rsidRDefault="00403485">
      <w:r>
        <w:continuationSeparator/>
      </w:r>
    </w:p>
  </w:footnote>
  <w:footnote w:id="1">
    <w:p w14:paraId="5F50EC29" w14:textId="67090DCE" w:rsidR="00BA6193" w:rsidRDefault="00BA6193" w:rsidP="00BA6193">
      <w:pPr>
        <w:pStyle w:val="FootnoteText"/>
      </w:pPr>
      <w:r>
        <w:rPr>
          <w:rStyle w:val="FootnoteReference"/>
        </w:rPr>
        <w:footnoteRef/>
      </w:r>
      <w:r>
        <w:t xml:space="preserve"> </w:t>
      </w:r>
      <w:proofErr w:type="spellStart"/>
      <w:r>
        <w:rPr>
          <w:rFonts w:asciiTheme="majorHAnsi" w:hAnsiTheme="majorHAnsi" w:cstheme="majorHAnsi"/>
        </w:rPr>
        <w:t>Fushat</w:t>
      </w:r>
      <w:proofErr w:type="spellEnd"/>
      <w:r>
        <w:rPr>
          <w:rFonts w:asciiTheme="majorHAnsi" w:hAnsiTheme="majorHAnsi" w:cstheme="majorHAnsi"/>
        </w:rPr>
        <w:t xml:space="preserve"> e </w:t>
      </w:r>
      <w:proofErr w:type="spellStart"/>
      <w:r>
        <w:rPr>
          <w:rFonts w:asciiTheme="majorHAnsi" w:hAnsiTheme="majorHAnsi" w:cstheme="majorHAnsi"/>
        </w:rPr>
        <w:t>punës</w:t>
      </w:r>
      <w:proofErr w:type="spellEnd"/>
      <w:r>
        <w:rPr>
          <w:rFonts w:asciiTheme="majorHAnsi" w:hAnsiTheme="majorHAnsi" w:cstheme="majorHAnsi"/>
        </w:rPr>
        <w:t xml:space="preserve"> </w:t>
      </w:r>
      <w:proofErr w:type="spellStart"/>
      <w:r>
        <w:rPr>
          <w:rFonts w:asciiTheme="majorHAnsi" w:hAnsiTheme="majorHAnsi" w:cstheme="majorHAnsi"/>
        </w:rPr>
        <w:t>të</w:t>
      </w:r>
      <w:proofErr w:type="spellEnd"/>
      <w:r>
        <w:rPr>
          <w:rFonts w:asciiTheme="majorHAnsi" w:hAnsiTheme="majorHAnsi" w:cstheme="majorHAnsi"/>
        </w:rPr>
        <w:t xml:space="preserve"> </w:t>
      </w:r>
      <w:proofErr w:type="spellStart"/>
      <w:r>
        <w:rPr>
          <w:rFonts w:asciiTheme="majorHAnsi" w:hAnsiTheme="majorHAnsi" w:cstheme="majorHAnsi"/>
        </w:rPr>
        <w:t>përcaktuara</w:t>
      </w:r>
      <w:proofErr w:type="spellEnd"/>
      <w:r>
        <w:rPr>
          <w:rFonts w:asciiTheme="majorHAnsi" w:hAnsiTheme="majorHAnsi" w:cstheme="majorHAnsi"/>
        </w:rPr>
        <w:t xml:space="preserve"> </w:t>
      </w:r>
      <w:proofErr w:type="spellStart"/>
      <w:r>
        <w:rPr>
          <w:rFonts w:asciiTheme="majorHAnsi" w:hAnsiTheme="majorHAnsi" w:cstheme="majorHAnsi"/>
        </w:rPr>
        <w:t>në</w:t>
      </w:r>
      <w:proofErr w:type="spellEnd"/>
      <w:r w:rsidR="00F41793">
        <w:rPr>
          <w:rFonts w:asciiTheme="majorHAnsi" w:hAnsiTheme="majorHAnsi" w:cstheme="majorHAnsi"/>
        </w:rPr>
        <w:t xml:space="preserve"> PQASSO </w:t>
      </w:r>
      <w:r w:rsidRPr="00203662">
        <w:rPr>
          <w:rFonts w:asciiTheme="majorHAnsi" w:hAnsiTheme="majorHAnsi" w:cstheme="majorHAnsi"/>
          <w:color w:val="202122"/>
          <w:sz w:val="21"/>
          <w:szCs w:val="21"/>
          <w:shd w:val="clear" w:color="auto" w:fill="FFFFFF"/>
        </w:rPr>
        <w:t xml:space="preserve">- </w:t>
      </w:r>
      <w:proofErr w:type="spellStart"/>
      <w:r w:rsidRPr="00F41793">
        <w:rPr>
          <w:rFonts w:asciiTheme="majorHAnsi" w:hAnsiTheme="majorHAnsi" w:cstheme="majorHAnsi"/>
        </w:rPr>
        <w:t>Sistemi</w:t>
      </w:r>
      <w:proofErr w:type="spellEnd"/>
      <w:r w:rsidRPr="00F41793">
        <w:rPr>
          <w:rFonts w:asciiTheme="majorHAnsi" w:hAnsiTheme="majorHAnsi" w:cstheme="majorHAnsi"/>
        </w:rPr>
        <w:t xml:space="preserve"> </w:t>
      </w:r>
      <w:proofErr w:type="spellStart"/>
      <w:r w:rsidRPr="00F41793">
        <w:rPr>
          <w:rFonts w:asciiTheme="majorHAnsi" w:hAnsiTheme="majorHAnsi" w:cstheme="majorHAnsi"/>
        </w:rPr>
        <w:t>praktik</w:t>
      </w:r>
      <w:proofErr w:type="spellEnd"/>
      <w:r w:rsidRPr="00F41793">
        <w:rPr>
          <w:rFonts w:asciiTheme="majorHAnsi" w:hAnsiTheme="majorHAnsi" w:cstheme="majorHAnsi"/>
        </w:rPr>
        <w:t xml:space="preserve"> </w:t>
      </w:r>
      <w:proofErr w:type="spellStart"/>
      <w:r w:rsidRPr="00F41793">
        <w:rPr>
          <w:rFonts w:asciiTheme="majorHAnsi" w:hAnsiTheme="majorHAnsi" w:cstheme="majorHAnsi"/>
        </w:rPr>
        <w:t>i</w:t>
      </w:r>
      <w:proofErr w:type="spellEnd"/>
      <w:r w:rsidRPr="00F41793">
        <w:rPr>
          <w:rFonts w:asciiTheme="majorHAnsi" w:hAnsiTheme="majorHAnsi" w:cstheme="majorHAnsi"/>
        </w:rPr>
        <w:t xml:space="preserve"> </w:t>
      </w:r>
      <w:proofErr w:type="spellStart"/>
      <w:r w:rsidRPr="00F41793">
        <w:rPr>
          <w:rFonts w:asciiTheme="majorHAnsi" w:hAnsiTheme="majorHAnsi" w:cstheme="majorHAnsi"/>
        </w:rPr>
        <w:t>sigurimit</w:t>
      </w:r>
      <w:proofErr w:type="spellEnd"/>
      <w:r w:rsidRPr="00F41793">
        <w:rPr>
          <w:rFonts w:asciiTheme="majorHAnsi" w:hAnsiTheme="majorHAnsi" w:cstheme="majorHAnsi"/>
        </w:rPr>
        <w:t xml:space="preserve"> të cilësisë për organizatat e </w:t>
      </w:r>
      <w:proofErr w:type="spellStart"/>
      <w:r w:rsidRPr="00F41793">
        <w:rPr>
          <w:rFonts w:asciiTheme="majorHAnsi" w:hAnsiTheme="majorHAnsi" w:cstheme="majorHAnsi"/>
        </w:rPr>
        <w:t>vogla</w:t>
      </w:r>
      <w:proofErr w:type="spellEnd"/>
      <w:r w:rsidRPr="00F41793">
        <w:rPr>
          <w:rFonts w:asciiTheme="majorHAnsi" w:hAnsiTheme="majorHAnsi" w:cstheme="majorHAnsi"/>
        </w:rPr>
        <w:t xml:space="preserve">, e </w:t>
      </w:r>
      <w:proofErr w:type="spellStart"/>
      <w:r w:rsidRPr="00F41793">
        <w:rPr>
          <w:rFonts w:asciiTheme="majorHAnsi" w:hAnsiTheme="majorHAnsi" w:cstheme="majorHAnsi"/>
        </w:rPr>
        <w:t>disponueshme</w:t>
      </w:r>
      <w:proofErr w:type="spellEnd"/>
      <w:r w:rsidRPr="00F41793">
        <w:rPr>
          <w:rFonts w:asciiTheme="majorHAnsi" w:hAnsiTheme="majorHAnsi" w:cstheme="majorHAnsi"/>
        </w:rPr>
        <w:t xml:space="preserve"> </w:t>
      </w:r>
      <w:proofErr w:type="spellStart"/>
      <w:r w:rsidRPr="00F41793">
        <w:rPr>
          <w:rFonts w:asciiTheme="majorHAnsi" w:hAnsiTheme="majorHAnsi" w:cstheme="majorHAnsi"/>
        </w:rPr>
        <w:t>në</w:t>
      </w:r>
      <w:proofErr w:type="spellEnd"/>
      <w:r w:rsidRPr="00203662">
        <w:rPr>
          <w:rFonts w:asciiTheme="majorHAnsi" w:hAnsiTheme="majorHAnsi" w:cstheme="majorHAnsi"/>
          <w:color w:val="202122"/>
          <w:sz w:val="21"/>
          <w:szCs w:val="21"/>
          <w:shd w:val="clear" w:color="auto" w:fill="FFFFFF"/>
        </w:rPr>
        <w:t xml:space="preserve"> </w:t>
      </w:r>
      <w:hyperlink r:id="rId1" w:history="1">
        <w:r w:rsidRPr="00203662">
          <w:rPr>
            <w:rStyle w:val="Hyperlink"/>
            <w:rFonts w:asciiTheme="majorHAnsi" w:hAnsiTheme="majorHAnsi" w:cstheme="majorHAnsi"/>
            <w:sz w:val="21"/>
            <w:szCs w:val="21"/>
            <w:shd w:val="clear" w:color="auto" w:fill="FFFFFF"/>
          </w:rPr>
          <w:t>https://web.archive.org/web/20111103212105/http://www.ces-vol.org.uk/index.cfm?pg=42</w:t>
        </w:r>
      </w:hyperlink>
      <w:r w:rsidR="00F41793">
        <w:rPr>
          <w:rStyle w:val="Hyperlink"/>
          <w:rFonts w:asciiTheme="majorHAnsi" w:hAnsiTheme="majorHAnsi" w:cstheme="majorHAnsi"/>
          <w:sz w:val="21"/>
          <w:szCs w:val="21"/>
          <w:shd w:val="clear" w:color="auto" w:fill="FFFFFF"/>
        </w:rPr>
        <w:t xml:space="preserve"> </w:t>
      </w:r>
    </w:p>
    <w:p w14:paraId="67C66EC0" w14:textId="367F09C2" w:rsidR="00BA6193" w:rsidRPr="00BA6193" w:rsidRDefault="00BA6193">
      <w:pPr>
        <w:pStyle w:val="FootnoteText"/>
        <w:rPr>
          <w:lang w:val="en-US"/>
        </w:rPr>
      </w:pPr>
    </w:p>
  </w:footnote>
  <w:footnote w:id="2">
    <w:p w14:paraId="4DD4255B" w14:textId="77777777" w:rsidR="00470A05" w:rsidRDefault="00470A05" w:rsidP="00470A05">
      <w:pPr>
        <w:pStyle w:val="FootnoteText"/>
      </w:pPr>
      <w:r>
        <w:rPr>
          <w:rStyle w:val="FootnoteReference"/>
        </w:rPr>
        <w:footnoteRef/>
      </w:r>
      <w:r>
        <w:t xml:space="preserve"> </w:t>
      </w:r>
      <w:proofErr w:type="spellStart"/>
      <w:r>
        <w:rPr>
          <w:rFonts w:asciiTheme="majorHAnsi" w:hAnsiTheme="majorHAnsi" w:cstheme="majorHAnsi"/>
        </w:rPr>
        <w:t>Fushat</w:t>
      </w:r>
      <w:proofErr w:type="spellEnd"/>
      <w:r>
        <w:rPr>
          <w:rFonts w:asciiTheme="majorHAnsi" w:hAnsiTheme="majorHAnsi" w:cstheme="majorHAnsi"/>
        </w:rPr>
        <w:t xml:space="preserve"> e </w:t>
      </w:r>
      <w:proofErr w:type="spellStart"/>
      <w:r>
        <w:rPr>
          <w:rFonts w:asciiTheme="majorHAnsi" w:hAnsiTheme="majorHAnsi" w:cstheme="majorHAnsi"/>
        </w:rPr>
        <w:t>punës</w:t>
      </w:r>
      <w:proofErr w:type="spellEnd"/>
      <w:r>
        <w:rPr>
          <w:rFonts w:asciiTheme="majorHAnsi" w:hAnsiTheme="majorHAnsi" w:cstheme="majorHAnsi"/>
        </w:rPr>
        <w:t xml:space="preserve"> </w:t>
      </w:r>
      <w:proofErr w:type="spellStart"/>
      <w:r>
        <w:rPr>
          <w:rFonts w:asciiTheme="majorHAnsi" w:hAnsiTheme="majorHAnsi" w:cstheme="majorHAnsi"/>
        </w:rPr>
        <w:t>të</w:t>
      </w:r>
      <w:proofErr w:type="spellEnd"/>
      <w:r>
        <w:rPr>
          <w:rFonts w:asciiTheme="majorHAnsi" w:hAnsiTheme="majorHAnsi" w:cstheme="majorHAnsi"/>
        </w:rPr>
        <w:t xml:space="preserve"> </w:t>
      </w:r>
      <w:proofErr w:type="spellStart"/>
      <w:r>
        <w:rPr>
          <w:rFonts w:asciiTheme="majorHAnsi" w:hAnsiTheme="majorHAnsi" w:cstheme="majorHAnsi"/>
        </w:rPr>
        <w:t>përcaktuara</w:t>
      </w:r>
      <w:proofErr w:type="spellEnd"/>
      <w:r>
        <w:rPr>
          <w:rFonts w:asciiTheme="majorHAnsi" w:hAnsiTheme="majorHAnsi" w:cstheme="majorHAnsi"/>
        </w:rPr>
        <w:t xml:space="preserve"> </w:t>
      </w:r>
      <w:proofErr w:type="spellStart"/>
      <w:r>
        <w:rPr>
          <w:rFonts w:asciiTheme="majorHAnsi" w:hAnsiTheme="majorHAnsi" w:cstheme="majorHAnsi"/>
        </w:rPr>
        <w:t>në</w:t>
      </w:r>
      <w:proofErr w:type="spellEnd"/>
      <w:r>
        <w:rPr>
          <w:rFonts w:asciiTheme="majorHAnsi" w:hAnsiTheme="majorHAnsi" w:cstheme="majorHAnsi"/>
        </w:rPr>
        <w:t xml:space="preserve"> </w:t>
      </w:r>
      <w:r w:rsidRPr="00721317">
        <w:rPr>
          <w:rFonts w:asciiTheme="majorHAnsi" w:hAnsiTheme="majorHAnsi" w:cstheme="majorHAnsi"/>
          <w:lang w:val="sq-AL"/>
        </w:rPr>
        <w:t>PQAS</w:t>
      </w:r>
      <w:r w:rsidRPr="000153A0">
        <w:rPr>
          <w:rFonts w:asciiTheme="majorHAnsi" w:hAnsiTheme="majorHAnsi" w:cstheme="majorHAnsi"/>
        </w:rPr>
        <w:t xml:space="preserve">SO - </w:t>
      </w:r>
      <w:proofErr w:type="spellStart"/>
      <w:r w:rsidRPr="000153A0">
        <w:rPr>
          <w:rFonts w:asciiTheme="majorHAnsi" w:hAnsiTheme="majorHAnsi" w:cstheme="majorHAnsi"/>
        </w:rPr>
        <w:t>Sistemi</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praktik</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i</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sigurimit</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të</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cilësisë</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për</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organizatat</w:t>
      </w:r>
      <w:proofErr w:type="spellEnd"/>
      <w:r w:rsidRPr="000153A0">
        <w:rPr>
          <w:rFonts w:asciiTheme="majorHAnsi" w:hAnsiTheme="majorHAnsi" w:cstheme="majorHAnsi"/>
        </w:rPr>
        <w:t xml:space="preserve"> e </w:t>
      </w:r>
      <w:proofErr w:type="spellStart"/>
      <w:r w:rsidRPr="000153A0">
        <w:rPr>
          <w:rFonts w:asciiTheme="majorHAnsi" w:hAnsiTheme="majorHAnsi" w:cstheme="majorHAnsi"/>
        </w:rPr>
        <w:t>vogla</w:t>
      </w:r>
      <w:proofErr w:type="spellEnd"/>
      <w:r w:rsidRPr="000153A0">
        <w:rPr>
          <w:rFonts w:asciiTheme="majorHAnsi" w:hAnsiTheme="majorHAnsi" w:cstheme="majorHAnsi"/>
        </w:rPr>
        <w:t xml:space="preserve">, e </w:t>
      </w:r>
      <w:proofErr w:type="spellStart"/>
      <w:r w:rsidRPr="000153A0">
        <w:rPr>
          <w:rFonts w:asciiTheme="majorHAnsi" w:hAnsiTheme="majorHAnsi" w:cstheme="majorHAnsi"/>
        </w:rPr>
        <w:t>disponueshme</w:t>
      </w:r>
      <w:proofErr w:type="spellEnd"/>
      <w:r w:rsidRPr="000153A0">
        <w:rPr>
          <w:rFonts w:asciiTheme="majorHAnsi" w:hAnsiTheme="majorHAnsi" w:cstheme="majorHAnsi"/>
        </w:rPr>
        <w:t xml:space="preserve"> </w:t>
      </w:r>
      <w:proofErr w:type="spellStart"/>
      <w:r w:rsidRPr="000153A0">
        <w:rPr>
          <w:rFonts w:asciiTheme="majorHAnsi" w:hAnsiTheme="majorHAnsi" w:cstheme="majorHAnsi"/>
        </w:rPr>
        <w:t>në</w:t>
      </w:r>
      <w:proofErr w:type="spellEnd"/>
      <w:r w:rsidRPr="00203662">
        <w:rPr>
          <w:rFonts w:asciiTheme="majorHAnsi" w:hAnsiTheme="majorHAnsi" w:cstheme="majorHAnsi"/>
          <w:color w:val="202122"/>
          <w:sz w:val="21"/>
          <w:szCs w:val="21"/>
          <w:shd w:val="clear" w:color="auto" w:fill="FFFFFF"/>
        </w:rPr>
        <w:t xml:space="preserve"> </w:t>
      </w:r>
      <w:hyperlink r:id="rId2" w:history="1">
        <w:r w:rsidRPr="00203662">
          <w:rPr>
            <w:rStyle w:val="Hyperlink"/>
            <w:rFonts w:asciiTheme="majorHAnsi" w:hAnsiTheme="majorHAnsi" w:cstheme="majorHAnsi"/>
            <w:sz w:val="21"/>
            <w:szCs w:val="21"/>
            <w:shd w:val="clear" w:color="auto" w:fill="FFFFFF"/>
          </w:rPr>
          <w:t>https://web.archive.org/web/20111103212105/http://www.ces-vol.org.uk/index.cfm?pg=42</w:t>
        </w:r>
      </w:hyperlink>
    </w:p>
    <w:p w14:paraId="5EA9EF65" w14:textId="77777777" w:rsidR="00470A05" w:rsidRDefault="00470A05" w:rsidP="00470A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5F5" w14:textId="77777777" w:rsidR="004C31B6" w:rsidRDefault="004C31B6" w:rsidP="007C791E">
    <w:pPr>
      <w:pStyle w:val="Header"/>
      <w:tabs>
        <w:tab w:val="clear" w:pos="9026"/>
        <w:tab w:val="right" w:pos="9000"/>
      </w:tabs>
    </w:pPr>
    <w:r>
      <w:rPr>
        <w:noProof/>
      </w:rPr>
      <w:drawing>
        <wp:anchor distT="152400" distB="152400" distL="152400" distR="152400" simplePos="0" relativeHeight="251663360" behindDoc="1" locked="0" layoutInCell="1" allowOverlap="1" wp14:anchorId="2DBB1EB3" wp14:editId="40D6CCA1">
          <wp:simplePos x="0" y="0"/>
          <wp:positionH relativeFrom="margin">
            <wp:posOffset>-457200</wp:posOffset>
          </wp:positionH>
          <wp:positionV relativeFrom="topMargin">
            <wp:posOffset>407670</wp:posOffset>
          </wp:positionV>
          <wp:extent cx="3174365" cy="1264920"/>
          <wp:effectExtent l="0" t="0" r="0" b="0"/>
          <wp:wrapNone/>
          <wp:docPr id="2"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clrChange>
                      <a:clrFrom>
                        <a:srgbClr val="FFFFFF"/>
                      </a:clrFrom>
                      <a:clrTo>
                        <a:srgbClr val="FFFFFF">
                          <a:alpha val="0"/>
                        </a:srgbClr>
                      </a:clrTo>
                    </a:clrChange>
                  </a:blip>
                  <a:srcRect l="8994" t="28900" r="48983"/>
                  <a:stretch/>
                </pic:blipFill>
                <pic:spPr bwMode="auto">
                  <a:xfrm>
                    <a:off x="0" y="0"/>
                    <a:ext cx="3174365"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2336" behindDoc="1" locked="0" layoutInCell="1" allowOverlap="1" wp14:anchorId="497B33FA" wp14:editId="1685E3F3">
          <wp:simplePos x="0" y="0"/>
          <wp:positionH relativeFrom="page">
            <wp:posOffset>0</wp:posOffset>
          </wp:positionH>
          <wp:positionV relativeFrom="page">
            <wp:posOffset>9555146</wp:posOffset>
          </wp:positionV>
          <wp:extent cx="7560310" cy="1075175"/>
          <wp:effectExtent l="0" t="0" r="0" b="0"/>
          <wp:wrapNone/>
          <wp:docPr id="3"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5FC150E3" w:rsidR="00660354" w:rsidRDefault="004C31B6">
    <w:pPr>
      <w:pStyle w:val="Header"/>
      <w:tabs>
        <w:tab w:val="clear" w:pos="9026"/>
        <w:tab w:val="right" w:pos="9000"/>
      </w:tabs>
    </w:pPr>
    <w:r>
      <w:rPr>
        <w:noProof/>
      </w:rPr>
      <w:drawing>
        <wp:anchor distT="152400" distB="152400" distL="152400" distR="152400" simplePos="0" relativeHeight="251665408" behindDoc="1" locked="0" layoutInCell="1" allowOverlap="1" wp14:anchorId="5E247366" wp14:editId="3986232C">
          <wp:simplePos x="0" y="0"/>
          <wp:positionH relativeFrom="margin">
            <wp:posOffset>-400050</wp:posOffset>
          </wp:positionH>
          <wp:positionV relativeFrom="topMargin">
            <wp:posOffset>375285</wp:posOffset>
          </wp:positionV>
          <wp:extent cx="3174365" cy="1264920"/>
          <wp:effectExtent l="0" t="0" r="0" b="0"/>
          <wp:wrapNone/>
          <wp:docPr id="4"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clrChange>
                      <a:clrFrom>
                        <a:srgbClr val="FFFFFF"/>
                      </a:clrFrom>
                      <a:clrTo>
                        <a:srgbClr val="FFFFFF">
                          <a:alpha val="0"/>
                        </a:srgbClr>
                      </a:clrTo>
                    </a:clrChange>
                  </a:blip>
                  <a:srcRect l="8994" t="28900" r="48983"/>
                  <a:stretch/>
                </pic:blipFill>
                <pic:spPr bwMode="auto">
                  <a:xfrm>
                    <a:off x="0" y="0"/>
                    <a:ext cx="3174365"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DB2">
      <w:rPr>
        <w:noProof/>
        <w:lang w:eastAsia="en-US"/>
      </w:rPr>
      <w:drawing>
        <wp:anchor distT="152400" distB="152400" distL="152400" distR="152400" simplePos="0" relativeHeight="251659264" behindDoc="1" locked="0" layoutInCell="1" allowOverlap="1" wp14:anchorId="4A7EF42A" wp14:editId="1648FA5F">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7D"/>
    <w:multiLevelType w:val="hybridMultilevel"/>
    <w:tmpl w:val="DE1EB9D2"/>
    <w:lvl w:ilvl="0" w:tplc="0409001B">
      <w:start w:val="1"/>
      <w:numFmt w:val="lowerRoman"/>
      <w:lvlText w:val="%1."/>
      <w:lvlJc w:val="right"/>
      <w:pPr>
        <w:ind w:left="4396" w:hanging="360"/>
      </w:pPr>
    </w:lvl>
    <w:lvl w:ilvl="1" w:tplc="04090019" w:tentative="1">
      <w:start w:val="1"/>
      <w:numFmt w:val="lowerLetter"/>
      <w:lvlText w:val="%2."/>
      <w:lvlJc w:val="left"/>
      <w:pPr>
        <w:ind w:left="5116" w:hanging="360"/>
      </w:pPr>
    </w:lvl>
    <w:lvl w:ilvl="2" w:tplc="0409001B" w:tentative="1">
      <w:start w:val="1"/>
      <w:numFmt w:val="lowerRoman"/>
      <w:lvlText w:val="%3."/>
      <w:lvlJc w:val="right"/>
      <w:pPr>
        <w:ind w:left="5836" w:hanging="180"/>
      </w:pPr>
    </w:lvl>
    <w:lvl w:ilvl="3" w:tplc="0409000F" w:tentative="1">
      <w:start w:val="1"/>
      <w:numFmt w:val="decimal"/>
      <w:lvlText w:val="%4."/>
      <w:lvlJc w:val="left"/>
      <w:pPr>
        <w:ind w:left="6556" w:hanging="360"/>
      </w:pPr>
    </w:lvl>
    <w:lvl w:ilvl="4" w:tplc="04090019" w:tentative="1">
      <w:start w:val="1"/>
      <w:numFmt w:val="lowerLetter"/>
      <w:lvlText w:val="%5."/>
      <w:lvlJc w:val="left"/>
      <w:pPr>
        <w:ind w:left="7276" w:hanging="360"/>
      </w:pPr>
    </w:lvl>
    <w:lvl w:ilvl="5" w:tplc="0409001B" w:tentative="1">
      <w:start w:val="1"/>
      <w:numFmt w:val="lowerRoman"/>
      <w:lvlText w:val="%6."/>
      <w:lvlJc w:val="right"/>
      <w:pPr>
        <w:ind w:left="7996" w:hanging="180"/>
      </w:pPr>
    </w:lvl>
    <w:lvl w:ilvl="6" w:tplc="0409000F" w:tentative="1">
      <w:start w:val="1"/>
      <w:numFmt w:val="decimal"/>
      <w:lvlText w:val="%7."/>
      <w:lvlJc w:val="left"/>
      <w:pPr>
        <w:ind w:left="8716" w:hanging="360"/>
      </w:pPr>
    </w:lvl>
    <w:lvl w:ilvl="7" w:tplc="04090019" w:tentative="1">
      <w:start w:val="1"/>
      <w:numFmt w:val="lowerLetter"/>
      <w:lvlText w:val="%8."/>
      <w:lvlJc w:val="left"/>
      <w:pPr>
        <w:ind w:left="9436" w:hanging="360"/>
      </w:pPr>
    </w:lvl>
    <w:lvl w:ilvl="8" w:tplc="0409001B" w:tentative="1">
      <w:start w:val="1"/>
      <w:numFmt w:val="lowerRoman"/>
      <w:lvlText w:val="%9."/>
      <w:lvlJc w:val="right"/>
      <w:pPr>
        <w:ind w:left="10156" w:hanging="180"/>
      </w:pPr>
    </w:lvl>
  </w:abstractNum>
  <w:abstractNum w:abstractNumId="1" w15:restartNumberingAfterBreak="0">
    <w:nsid w:val="0ABC73A7"/>
    <w:multiLevelType w:val="hybridMultilevel"/>
    <w:tmpl w:val="6172D136"/>
    <w:lvl w:ilvl="0" w:tplc="C232816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5529D"/>
    <w:multiLevelType w:val="hybridMultilevel"/>
    <w:tmpl w:val="880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E3236"/>
    <w:multiLevelType w:val="hybridMultilevel"/>
    <w:tmpl w:val="B0E4A0E8"/>
    <w:lvl w:ilvl="0" w:tplc="BB8678D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E54770A"/>
    <w:multiLevelType w:val="hybridMultilevel"/>
    <w:tmpl w:val="19FC5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47207"/>
    <w:multiLevelType w:val="hybridMultilevel"/>
    <w:tmpl w:val="9EC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7831"/>
    <w:multiLevelType w:val="hybridMultilevel"/>
    <w:tmpl w:val="5FE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93AC7"/>
    <w:multiLevelType w:val="hybridMultilevel"/>
    <w:tmpl w:val="333624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845252F"/>
    <w:multiLevelType w:val="hybridMultilevel"/>
    <w:tmpl w:val="74BCACE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59167689"/>
    <w:multiLevelType w:val="hybridMultilevel"/>
    <w:tmpl w:val="EC40F6D8"/>
    <w:lvl w:ilvl="0" w:tplc="100A98A8">
      <w:start w:val="1"/>
      <w:numFmt w:val="decimal"/>
      <w:lvlText w:val="%1."/>
      <w:lvlJc w:val="left"/>
      <w:pPr>
        <w:ind w:left="830" w:hanging="360"/>
      </w:pPr>
      <w:rPr>
        <w:rFonts w:hint="default"/>
      </w:rPr>
    </w:lvl>
    <w:lvl w:ilvl="1" w:tplc="04090019">
      <w:start w:val="1"/>
      <w:numFmt w:val="lowerLetter"/>
      <w:lvlText w:val="%2."/>
      <w:lvlJc w:val="left"/>
      <w:pPr>
        <w:ind w:left="2511" w:hanging="360"/>
      </w:pPr>
    </w:lvl>
    <w:lvl w:ilvl="2" w:tplc="0409001B">
      <w:start w:val="1"/>
      <w:numFmt w:val="lowerRoman"/>
      <w:lvlText w:val="%3."/>
      <w:lvlJc w:val="right"/>
      <w:pPr>
        <w:ind w:left="3231" w:hanging="180"/>
      </w:pPr>
    </w:lvl>
    <w:lvl w:ilvl="3" w:tplc="0409000F">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0" w15:restartNumberingAfterBreak="0">
    <w:nsid w:val="5E373D06"/>
    <w:multiLevelType w:val="hybridMultilevel"/>
    <w:tmpl w:val="B9E291DA"/>
    <w:lvl w:ilvl="0" w:tplc="C232816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B68D4"/>
    <w:multiLevelType w:val="hybridMultilevel"/>
    <w:tmpl w:val="D39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18257">
    <w:abstractNumId w:val="0"/>
  </w:num>
  <w:num w:numId="2" w16cid:durableId="2027637474">
    <w:abstractNumId w:val="8"/>
  </w:num>
  <w:num w:numId="3" w16cid:durableId="582300911">
    <w:abstractNumId w:val="3"/>
  </w:num>
  <w:num w:numId="4" w16cid:durableId="1590118952">
    <w:abstractNumId w:val="7"/>
  </w:num>
  <w:num w:numId="5" w16cid:durableId="1094788453">
    <w:abstractNumId w:val="9"/>
  </w:num>
  <w:num w:numId="6" w16cid:durableId="986318706">
    <w:abstractNumId w:val="4"/>
  </w:num>
  <w:num w:numId="7" w16cid:durableId="1055664968">
    <w:abstractNumId w:val="2"/>
  </w:num>
  <w:num w:numId="8" w16cid:durableId="1354919312">
    <w:abstractNumId w:val="11"/>
  </w:num>
  <w:num w:numId="9" w16cid:durableId="295568958">
    <w:abstractNumId w:val="10"/>
  </w:num>
  <w:num w:numId="10" w16cid:durableId="912812410">
    <w:abstractNumId w:val="1"/>
  </w:num>
  <w:num w:numId="11" w16cid:durableId="1010790109">
    <w:abstractNumId w:val="6"/>
  </w:num>
  <w:num w:numId="12" w16cid:durableId="42554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153A0"/>
    <w:rsid w:val="00025815"/>
    <w:rsid w:val="00025A23"/>
    <w:rsid w:val="00050F82"/>
    <w:rsid w:val="00080ECC"/>
    <w:rsid w:val="00094806"/>
    <w:rsid w:val="000E72E6"/>
    <w:rsid w:val="0010006B"/>
    <w:rsid w:val="0013249A"/>
    <w:rsid w:val="001424EB"/>
    <w:rsid w:val="0016772E"/>
    <w:rsid w:val="00204B0E"/>
    <w:rsid w:val="00222075"/>
    <w:rsid w:val="002363FA"/>
    <w:rsid w:val="0025061C"/>
    <w:rsid w:val="00265F50"/>
    <w:rsid w:val="00271432"/>
    <w:rsid w:val="00292376"/>
    <w:rsid w:val="002D4C95"/>
    <w:rsid w:val="002E3754"/>
    <w:rsid w:val="00403485"/>
    <w:rsid w:val="00403D73"/>
    <w:rsid w:val="00406A25"/>
    <w:rsid w:val="00425E5A"/>
    <w:rsid w:val="0043693B"/>
    <w:rsid w:val="00462CB6"/>
    <w:rsid w:val="00470A05"/>
    <w:rsid w:val="00487367"/>
    <w:rsid w:val="004C31B6"/>
    <w:rsid w:val="004D1495"/>
    <w:rsid w:val="004D519E"/>
    <w:rsid w:val="004E504A"/>
    <w:rsid w:val="004F41C6"/>
    <w:rsid w:val="00513AF0"/>
    <w:rsid w:val="00551D61"/>
    <w:rsid w:val="0056113E"/>
    <w:rsid w:val="005B026B"/>
    <w:rsid w:val="005D2C05"/>
    <w:rsid w:val="00660354"/>
    <w:rsid w:val="006B6A85"/>
    <w:rsid w:val="006E085F"/>
    <w:rsid w:val="006F3B5C"/>
    <w:rsid w:val="007015DA"/>
    <w:rsid w:val="00721317"/>
    <w:rsid w:val="007929AD"/>
    <w:rsid w:val="007B3DB2"/>
    <w:rsid w:val="007B5BF9"/>
    <w:rsid w:val="007C37D2"/>
    <w:rsid w:val="007E5B97"/>
    <w:rsid w:val="008262D7"/>
    <w:rsid w:val="00855E1F"/>
    <w:rsid w:val="0085741F"/>
    <w:rsid w:val="008A0874"/>
    <w:rsid w:val="008D2211"/>
    <w:rsid w:val="008D7F35"/>
    <w:rsid w:val="008E0E68"/>
    <w:rsid w:val="008F5740"/>
    <w:rsid w:val="00900D18"/>
    <w:rsid w:val="009243CF"/>
    <w:rsid w:val="00977C04"/>
    <w:rsid w:val="00984A2D"/>
    <w:rsid w:val="009A5A31"/>
    <w:rsid w:val="009A73D3"/>
    <w:rsid w:val="009B6BC6"/>
    <w:rsid w:val="009D435D"/>
    <w:rsid w:val="009F5BCF"/>
    <w:rsid w:val="00A20211"/>
    <w:rsid w:val="00A2632C"/>
    <w:rsid w:val="00A54210"/>
    <w:rsid w:val="00A7465D"/>
    <w:rsid w:val="00A86F99"/>
    <w:rsid w:val="00B717C2"/>
    <w:rsid w:val="00BA6193"/>
    <w:rsid w:val="00BB05D3"/>
    <w:rsid w:val="00BC087A"/>
    <w:rsid w:val="00C526BE"/>
    <w:rsid w:val="00C6441E"/>
    <w:rsid w:val="00C6490E"/>
    <w:rsid w:val="00CA0EB7"/>
    <w:rsid w:val="00CE09D4"/>
    <w:rsid w:val="00CF74FC"/>
    <w:rsid w:val="00D00073"/>
    <w:rsid w:val="00D1515C"/>
    <w:rsid w:val="00D46320"/>
    <w:rsid w:val="00D75368"/>
    <w:rsid w:val="00D96478"/>
    <w:rsid w:val="00DB1533"/>
    <w:rsid w:val="00DF01C9"/>
    <w:rsid w:val="00E11677"/>
    <w:rsid w:val="00EA38C4"/>
    <w:rsid w:val="00EA6F54"/>
    <w:rsid w:val="00EC798A"/>
    <w:rsid w:val="00EE2B19"/>
    <w:rsid w:val="00EE52B3"/>
    <w:rsid w:val="00EE77AA"/>
    <w:rsid w:val="00F10CE8"/>
    <w:rsid w:val="00F25921"/>
    <w:rsid w:val="00F41793"/>
    <w:rsid w:val="00F80308"/>
    <w:rsid w:val="00F82843"/>
    <w:rsid w:val="00FD3C00"/>
    <w:rsid w:val="00FD5470"/>
    <w:rsid w:val="00FF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Arial"/>
        <w:color w:val="000000"/>
        <w:sz w:val="22"/>
        <w:szCs w:val="22"/>
        <w:u w:color="000000"/>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58" w:right="853"/>
      <w:jc w:val="center"/>
      <w:outlineLvl w:val="0"/>
    </w:pPr>
    <w:rPr>
      <w:rFonts w:ascii="Calibri Light" w:eastAsia="Calibri Light" w:hAnsi="Calibri Light" w:cs="Calibri Light"/>
      <w:color w:val="auto"/>
      <w:sz w:val="40"/>
      <w:szCs w:val="40"/>
      <w:bdr w:val="none" w:sz="0" w:space="0" w:color="auto"/>
      <w:lang w:val="en-US" w:eastAsia="en-US"/>
    </w:rPr>
  </w:style>
  <w:style w:type="paragraph" w:styleId="Heading3">
    <w:name w:val="heading 3"/>
    <w:basedOn w:val="Normal"/>
    <w:link w:val="Heading3Char"/>
    <w:uiPriority w:val="9"/>
    <w:unhideWhenUsed/>
    <w:qFormat/>
    <w:rsid w:val="004C3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7"/>
      <w:ind w:left="961" w:right="853"/>
      <w:jc w:val="center"/>
      <w:outlineLvl w:val="2"/>
    </w:pPr>
    <w:rPr>
      <w:rFonts w:ascii="Calibri Light" w:eastAsia="Calibri Light" w:hAnsi="Calibri Light" w:cs="Calibri Light"/>
      <w:color w:val="auto"/>
      <w:sz w:val="28"/>
      <w:szCs w:val="28"/>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lang w:val="en-US"/>
    </w:rPr>
  </w:style>
  <w:style w:type="paragraph" w:styleId="Footer">
    <w:name w:val="footer"/>
    <w:pPr>
      <w:tabs>
        <w:tab w:val="center" w:pos="4513"/>
        <w:tab w:val="right" w:pos="9026"/>
      </w:tabs>
    </w:pPr>
    <w:rPr>
      <w:rFonts w:ascii="Calibri" w:hAnsi="Calibri" w:cs="Arial Unicode MS"/>
      <w:lang w:val="en-US"/>
    </w:rPr>
  </w:style>
  <w:style w:type="paragraph" w:styleId="NoSpacing">
    <w:name w:val="No Spacing"/>
    <w:uiPriority w:val="1"/>
    <w:qFormat/>
    <w:rPr>
      <w:rFonts w:ascii="Calibri" w:hAnsi="Calibri" w:cs="Arial Unicode MS"/>
      <w:lang w:val="en-US"/>
    </w:rPr>
  </w:style>
  <w:style w:type="character" w:customStyle="1" w:styleId="UnresolvedMention1">
    <w:name w:val="Unresolved Mention1"/>
    <w:basedOn w:val="DefaultParagraphFont"/>
    <w:uiPriority w:val="99"/>
    <w:semiHidden/>
    <w:unhideWhenUsed/>
    <w:rsid w:val="00D00073"/>
    <w:rPr>
      <w:color w:val="605E5C"/>
      <w:shd w:val="clear" w:color="auto" w:fill="E1DFDD"/>
    </w:rPr>
  </w:style>
  <w:style w:type="paragraph" w:styleId="NormalWeb">
    <w:name w:val="Normal (Web)"/>
    <w:basedOn w:val="Normal"/>
    <w:uiPriority w:val="99"/>
    <w:semiHidden/>
    <w:unhideWhenUsed/>
    <w:rsid w:val="008D2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customStyle="1" w:styleId="intro1">
    <w:name w:val="intro1"/>
    <w:basedOn w:val="DefaultParagraphFont"/>
    <w:rsid w:val="00A7465D"/>
  </w:style>
  <w:style w:type="paragraph" w:styleId="FootnoteText">
    <w:name w:val="footnote text"/>
    <w:basedOn w:val="Normal"/>
    <w:link w:val="FootnoteTextChar"/>
    <w:uiPriority w:val="99"/>
    <w:semiHidden/>
    <w:unhideWhenUsed/>
    <w:rsid w:val="00222075"/>
    <w:rPr>
      <w:sz w:val="20"/>
      <w:szCs w:val="20"/>
    </w:rPr>
  </w:style>
  <w:style w:type="character" w:customStyle="1" w:styleId="FootnoteTextChar">
    <w:name w:val="Footnote Text Char"/>
    <w:basedOn w:val="DefaultParagraphFont"/>
    <w:link w:val="FootnoteText"/>
    <w:uiPriority w:val="99"/>
    <w:semiHidden/>
    <w:rsid w:val="00222075"/>
    <w:rPr>
      <w:sz w:val="20"/>
      <w:szCs w:val="20"/>
    </w:rPr>
  </w:style>
  <w:style w:type="character" w:styleId="FootnoteReference">
    <w:name w:val="footnote reference"/>
    <w:uiPriority w:val="99"/>
    <w:semiHidden/>
    <w:rsid w:val="00222075"/>
    <w:rPr>
      <w:rFonts w:ascii="Arial" w:hAnsi="Arial"/>
      <w:position w:val="6"/>
      <w:sz w:val="16"/>
    </w:rPr>
  </w:style>
  <w:style w:type="character" w:customStyle="1" w:styleId="Heading1Char">
    <w:name w:val="Heading 1 Char"/>
    <w:basedOn w:val="DefaultParagraphFont"/>
    <w:link w:val="Heading1"/>
    <w:uiPriority w:val="9"/>
    <w:rsid w:val="004C31B6"/>
    <w:rPr>
      <w:rFonts w:ascii="Calibri Light" w:eastAsia="Calibri Light" w:hAnsi="Calibri Light" w:cs="Calibri Light"/>
      <w:color w:val="auto"/>
      <w:sz w:val="40"/>
      <w:szCs w:val="40"/>
      <w:bdr w:val="none" w:sz="0" w:space="0" w:color="auto"/>
      <w:lang w:val="en-US" w:eastAsia="en-US"/>
    </w:rPr>
  </w:style>
  <w:style w:type="character" w:customStyle="1" w:styleId="Heading3Char">
    <w:name w:val="Heading 3 Char"/>
    <w:basedOn w:val="DefaultParagraphFont"/>
    <w:link w:val="Heading3"/>
    <w:uiPriority w:val="9"/>
    <w:rsid w:val="004C31B6"/>
    <w:rPr>
      <w:rFonts w:ascii="Calibri Light" w:eastAsia="Calibri Light" w:hAnsi="Calibri Light" w:cs="Calibri Light"/>
      <w:color w:val="auto"/>
      <w:sz w:val="28"/>
      <w:szCs w:val="28"/>
      <w:bdr w:val="none" w:sz="0" w:space="0" w:color="auto"/>
      <w:lang w:val="en-US" w:eastAsia="en-US"/>
    </w:rPr>
  </w:style>
  <w:style w:type="paragraph" w:styleId="BodyText">
    <w:name w:val="Body Text"/>
    <w:basedOn w:val="Normal"/>
    <w:link w:val="BodyTextChar"/>
    <w:uiPriority w:val="1"/>
    <w:qFormat/>
    <w:rsid w:val="004C3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Light" w:eastAsia="Calibri Light" w:hAnsi="Calibri Light" w:cs="Calibri Light"/>
      <w:color w:val="auto"/>
      <w:sz w:val="24"/>
      <w:szCs w:val="24"/>
      <w:bdr w:val="none" w:sz="0" w:space="0" w:color="auto"/>
      <w:lang w:val="en-US" w:eastAsia="en-US"/>
    </w:rPr>
  </w:style>
  <w:style w:type="character" w:customStyle="1" w:styleId="BodyTextChar">
    <w:name w:val="Body Text Char"/>
    <w:basedOn w:val="DefaultParagraphFont"/>
    <w:link w:val="BodyText"/>
    <w:uiPriority w:val="1"/>
    <w:rsid w:val="004C31B6"/>
    <w:rPr>
      <w:rFonts w:ascii="Calibri Light" w:eastAsia="Calibri Light" w:hAnsi="Calibri Light" w:cs="Calibri Light"/>
      <w:color w:val="auto"/>
      <w:sz w:val="24"/>
      <w:szCs w:val="24"/>
      <w:bdr w:val="none" w:sz="0" w:space="0" w:color="auto"/>
      <w:lang w:val="en-US" w:eastAsia="en-US"/>
    </w:r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4C3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1" w:hanging="361"/>
    </w:pPr>
    <w:rPr>
      <w:rFonts w:ascii="Calibri Light" w:eastAsia="Calibri Light" w:hAnsi="Calibri Light" w:cs="Calibri Light"/>
      <w:color w:val="auto"/>
      <w:bdr w:val="none" w:sz="0" w:space="0" w:color="auto"/>
      <w:lang w:val="en-US" w:eastAsia="en-US"/>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4C31B6"/>
    <w:rPr>
      <w:rFonts w:ascii="Calibri Light" w:eastAsia="Calibri Light" w:hAnsi="Calibri Light" w:cs="Calibri Light"/>
      <w:color w:val="auto"/>
      <w:bdr w:val="none" w:sz="0" w:space="0" w:color="auto"/>
      <w:lang w:val="en-US" w:eastAsia="en-US"/>
    </w:rPr>
  </w:style>
  <w:style w:type="character" w:customStyle="1" w:styleId="rynqvb">
    <w:name w:val="rynqvb"/>
    <w:basedOn w:val="DefaultParagraphFont"/>
    <w:rsid w:val="004C31B6"/>
  </w:style>
  <w:style w:type="character" w:styleId="UnresolvedMention">
    <w:name w:val="Unresolved Mention"/>
    <w:basedOn w:val="DefaultParagraphFont"/>
    <w:uiPriority w:val="99"/>
    <w:semiHidden/>
    <w:unhideWhenUsed/>
    <w:rsid w:val="0047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0727">
      <w:bodyDiv w:val="1"/>
      <w:marLeft w:val="0"/>
      <w:marRight w:val="0"/>
      <w:marTop w:val="0"/>
      <w:marBottom w:val="0"/>
      <w:divBdr>
        <w:top w:val="none" w:sz="0" w:space="0" w:color="auto"/>
        <w:left w:val="none" w:sz="0" w:space="0" w:color="auto"/>
        <w:bottom w:val="none" w:sz="0" w:space="0" w:color="auto"/>
        <w:right w:val="none" w:sz="0" w:space="0" w:color="auto"/>
      </w:divBdr>
    </w:div>
    <w:div w:id="9722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111103212105/http://www.ces-vol.org.uk/index.cfm?pg=42" TargetMode="External"/><Relationship Id="rId1" Type="http://schemas.openxmlformats.org/officeDocument/2006/relationships/hyperlink" Target="https://web.archive.org/web/20111103212105/http://www.ces-vol.org.uk/index.cfm?pg=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3BB9D3C531AF40A6BD37441FA241DB" ma:contentTypeVersion="16" ma:contentTypeDescription="Stvaranje novog dokumenta." ma:contentTypeScope="" ma:versionID="8e7794c98766bbe206c9e7ba0008055a">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5aa114bed0a07258bc1b535e56806654"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2.xml><?xml version="1.0" encoding="utf-8"?>
<ds:datastoreItem xmlns:ds="http://schemas.openxmlformats.org/officeDocument/2006/customXml" ds:itemID="{4E856B40-6343-489F-8F10-7C1E5FF9C20D}"/>
</file>

<file path=customXml/itemProps3.xml><?xml version="1.0" encoding="utf-8"?>
<ds:datastoreItem xmlns:ds="http://schemas.openxmlformats.org/officeDocument/2006/customXml" ds:itemID="{F621FBD5-9146-4229-A7CA-34A500C0888A}">
  <ds:schemaRefs>
    <ds:schemaRef ds:uri="http://schemas.openxmlformats.org/officeDocument/2006/bibliography"/>
  </ds:schemaRefs>
</ds:datastoreItem>
</file>

<file path=customXml/itemProps4.xml><?xml version="1.0" encoding="utf-8"?>
<ds:datastoreItem xmlns:ds="http://schemas.openxmlformats.org/officeDocument/2006/customXml" ds:itemID="{394EAF7D-01B1-48DA-A334-11DEAABE9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Vojinovic</dc:creator>
  <cp:lastModifiedBy>kledia lika</cp:lastModifiedBy>
  <cp:revision>2</cp:revision>
  <dcterms:created xsi:type="dcterms:W3CDTF">2023-02-10T11:19:00Z</dcterms:created>
  <dcterms:modified xsi:type="dcterms:W3CDTF">2023-02-10T11:19:00Z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